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6F753B" w:rsidRDefault="00B73B84" w:rsidP="00C42930">
      <w:pPr>
        <w:pStyle w:val="Kopfzeile"/>
        <w:tabs>
          <w:tab w:val="clear" w:pos="4536"/>
          <w:tab w:val="clear" w:pos="9072"/>
          <w:tab w:val="left" w:pos="9498"/>
        </w:tabs>
        <w:spacing w:line="276" w:lineRule="auto"/>
        <w:ind w:right="565"/>
        <w:rPr>
          <w:rFonts w:ascii="Trebuchet MS" w:hAnsi="Trebuchet MS" w:cs="Calibri"/>
          <w:sz w:val="22"/>
          <w:szCs w:val="22"/>
        </w:rPr>
      </w:pPr>
      <w:r w:rsidRPr="006F753B">
        <w:rPr>
          <w:rFonts w:ascii="Trebuchet MS" w:hAnsi="Trebuchet MS" w:cs="Calibri"/>
          <w:sz w:val="22"/>
          <w:szCs w:val="22"/>
        </w:rPr>
        <w:t xml:space="preserve">Neuerscheinung bei </w:t>
      </w:r>
    </w:p>
    <w:p w:rsidR="00F47D72" w:rsidRPr="006F753B" w:rsidRDefault="00B73B84" w:rsidP="00C42930">
      <w:pPr>
        <w:pStyle w:val="Kopfzeile"/>
        <w:tabs>
          <w:tab w:val="clear" w:pos="4536"/>
          <w:tab w:val="clear" w:pos="9072"/>
          <w:tab w:val="left" w:pos="7797"/>
          <w:tab w:val="left" w:pos="9498"/>
        </w:tabs>
        <w:spacing w:line="276" w:lineRule="auto"/>
        <w:ind w:right="565"/>
        <w:rPr>
          <w:rFonts w:ascii="Trebuchet MS" w:hAnsi="Trebuchet MS" w:cs="Calibri"/>
          <w:b/>
          <w:bCs/>
          <w:sz w:val="22"/>
          <w:szCs w:val="22"/>
        </w:rPr>
      </w:pPr>
      <w:r w:rsidRPr="006F753B">
        <w:rPr>
          <w:rFonts w:ascii="Trebuchet MS" w:hAnsi="Trebuchet MS" w:cs="Calibri"/>
          <w:b/>
          <w:bCs/>
          <w:sz w:val="22"/>
          <w:szCs w:val="22"/>
        </w:rPr>
        <w:t>C.F. Müller</w:t>
      </w:r>
      <w:r w:rsidR="00F47D72" w:rsidRPr="006F753B">
        <w:rPr>
          <w:rFonts w:ascii="Trebuchet MS" w:hAnsi="Trebuchet MS" w:cs="Calibri"/>
          <w:b/>
          <w:bCs/>
          <w:sz w:val="22"/>
          <w:szCs w:val="22"/>
        </w:rPr>
        <w:t xml:space="preserve"> </w:t>
      </w:r>
      <w:r w:rsidR="00FD7321" w:rsidRPr="006F753B">
        <w:rPr>
          <w:rFonts w:ascii="Trebuchet MS" w:hAnsi="Trebuchet MS" w:cs="Calibri"/>
          <w:b/>
          <w:bCs/>
          <w:sz w:val="22"/>
          <w:szCs w:val="22"/>
        </w:rPr>
        <w:tab/>
      </w:r>
      <w:r w:rsidR="00FF4132">
        <w:rPr>
          <w:rFonts w:ascii="Trebuchet MS" w:hAnsi="Trebuchet MS" w:cs="Calibri"/>
          <w:b/>
          <w:bCs/>
          <w:sz w:val="22"/>
          <w:szCs w:val="22"/>
        </w:rPr>
        <w:t xml:space="preserve">      </w:t>
      </w:r>
      <w:r w:rsidR="004A71D1" w:rsidRPr="006F753B">
        <w:rPr>
          <w:rFonts w:ascii="Trebuchet MS" w:hAnsi="Trebuchet MS" w:cs="Calibri"/>
          <w:bCs/>
          <w:sz w:val="22"/>
          <w:szCs w:val="22"/>
        </w:rPr>
        <w:t>Heidelberg,</w:t>
      </w:r>
    </w:p>
    <w:p w:rsidR="00B73B84" w:rsidRDefault="00B73B84" w:rsidP="00FF4132">
      <w:pPr>
        <w:pStyle w:val="Kopfzeile"/>
        <w:tabs>
          <w:tab w:val="clear" w:pos="4536"/>
          <w:tab w:val="clear" w:pos="9072"/>
          <w:tab w:val="left" w:pos="7200"/>
          <w:tab w:val="left" w:pos="9498"/>
        </w:tabs>
        <w:spacing w:line="276" w:lineRule="auto"/>
        <w:ind w:right="565"/>
        <w:jc w:val="right"/>
        <w:rPr>
          <w:rFonts w:ascii="Trebuchet MS" w:hAnsi="Trebuchet MS" w:cs="Calibri"/>
          <w:sz w:val="22"/>
          <w:szCs w:val="22"/>
        </w:rPr>
      </w:pPr>
      <w:r w:rsidRPr="006F753B">
        <w:rPr>
          <w:rFonts w:ascii="Trebuchet MS" w:hAnsi="Trebuchet MS" w:cs="Calibri"/>
          <w:sz w:val="22"/>
          <w:szCs w:val="22"/>
        </w:rPr>
        <w:tab/>
        <w:t xml:space="preserve">im </w:t>
      </w:r>
      <w:r w:rsidR="0008174E">
        <w:rPr>
          <w:rFonts w:ascii="Trebuchet MS" w:hAnsi="Trebuchet MS" w:cs="Calibri"/>
          <w:sz w:val="22"/>
          <w:szCs w:val="22"/>
        </w:rPr>
        <w:t>Mai</w:t>
      </w:r>
      <w:r w:rsidR="005421BF" w:rsidRPr="006F753B">
        <w:rPr>
          <w:rFonts w:ascii="Trebuchet MS" w:hAnsi="Trebuchet MS" w:cs="Calibri"/>
          <w:sz w:val="22"/>
          <w:szCs w:val="22"/>
        </w:rPr>
        <w:t xml:space="preserve"> </w:t>
      </w:r>
      <w:r w:rsidR="008A40A2" w:rsidRPr="006F753B">
        <w:rPr>
          <w:rFonts w:ascii="Trebuchet MS" w:hAnsi="Trebuchet MS" w:cs="Calibri"/>
          <w:sz w:val="22"/>
          <w:szCs w:val="22"/>
        </w:rPr>
        <w:t>202</w:t>
      </w:r>
      <w:r w:rsidR="0008174E">
        <w:rPr>
          <w:rFonts w:ascii="Trebuchet MS" w:hAnsi="Trebuchet MS" w:cs="Calibri"/>
          <w:sz w:val="22"/>
          <w:szCs w:val="22"/>
        </w:rPr>
        <w:t>4</w:t>
      </w:r>
    </w:p>
    <w:p w:rsidR="003A67F8" w:rsidRDefault="003A67F8" w:rsidP="0016312D">
      <w:pPr>
        <w:pStyle w:val="Kopfzeile"/>
        <w:tabs>
          <w:tab w:val="clear" w:pos="4536"/>
          <w:tab w:val="clear" w:pos="9072"/>
          <w:tab w:val="left" w:pos="7200"/>
          <w:tab w:val="left" w:pos="9498"/>
        </w:tabs>
        <w:spacing w:line="276" w:lineRule="auto"/>
        <w:ind w:right="565"/>
        <w:rPr>
          <w:rFonts w:ascii="Trebuchet MS" w:hAnsi="Trebuchet MS" w:cs="Calibri"/>
          <w:sz w:val="22"/>
          <w:szCs w:val="22"/>
        </w:rPr>
      </w:pPr>
    </w:p>
    <w:p w:rsidR="004C49F4" w:rsidRDefault="0016312D" w:rsidP="000F5C2F">
      <w:pPr>
        <w:pStyle w:val="StandardWeb"/>
        <w:spacing w:before="0" w:beforeAutospacing="0" w:after="0" w:afterAutospacing="0"/>
        <w:ind w:right="565"/>
        <w:rPr>
          <w:rFonts w:ascii="Verdana" w:hAnsi="Verdana"/>
          <w:b/>
          <w:bCs/>
          <w:color w:val="000000"/>
          <w:sz w:val="22"/>
        </w:rPr>
      </w:pPr>
      <w:r>
        <w:rPr>
          <w:rFonts w:ascii="Trebuchet MS" w:hAnsi="Trebuchet MS"/>
          <w:b/>
          <w:sz w:val="28"/>
          <w:szCs w:val="28"/>
        </w:rPr>
        <w:t>Gramlich/</w:t>
      </w:r>
      <w:proofErr w:type="spellStart"/>
      <w:r>
        <w:rPr>
          <w:rFonts w:ascii="Trebuchet MS" w:hAnsi="Trebuchet MS"/>
          <w:b/>
          <w:sz w:val="28"/>
          <w:szCs w:val="28"/>
        </w:rPr>
        <w:t>Lütke</w:t>
      </w:r>
      <w:proofErr w:type="spellEnd"/>
      <w:r>
        <w:rPr>
          <w:rFonts w:ascii="Trebuchet MS" w:hAnsi="Trebuchet MS"/>
          <w:b/>
          <w:sz w:val="28"/>
          <w:szCs w:val="28"/>
        </w:rPr>
        <w:t xml:space="preserve">, </w:t>
      </w:r>
      <w:proofErr w:type="spellStart"/>
      <w:r>
        <w:rPr>
          <w:rFonts w:ascii="Trebuchet MS" w:hAnsi="Trebuchet MS"/>
          <w:b/>
          <w:sz w:val="28"/>
          <w:szCs w:val="28"/>
        </w:rPr>
        <w:t>Gesch</w:t>
      </w:r>
      <w:r w:rsidR="0008174E">
        <w:rPr>
          <w:rFonts w:ascii="Trebuchet MS" w:hAnsi="Trebuchet MS"/>
          <w:b/>
          <w:sz w:val="28"/>
          <w:szCs w:val="28"/>
        </w:rPr>
        <w:t>GehG</w:t>
      </w:r>
      <w:proofErr w:type="spellEnd"/>
      <w:r w:rsidR="0008174E">
        <w:rPr>
          <w:rFonts w:ascii="Trebuchet MS" w:hAnsi="Trebuchet MS"/>
          <w:b/>
          <w:sz w:val="28"/>
          <w:szCs w:val="28"/>
        </w:rPr>
        <w:t xml:space="preserve"> / </w:t>
      </w:r>
      <w:proofErr w:type="spellStart"/>
      <w:r w:rsidR="0008174E">
        <w:rPr>
          <w:rFonts w:ascii="Trebuchet MS" w:hAnsi="Trebuchet MS"/>
          <w:b/>
          <w:sz w:val="28"/>
          <w:szCs w:val="28"/>
        </w:rPr>
        <w:t>HinSchG</w:t>
      </w:r>
      <w:proofErr w:type="spellEnd"/>
    </w:p>
    <w:p w:rsidR="004C49F4" w:rsidRPr="00402EFB" w:rsidRDefault="004C49F4" w:rsidP="000F5C2F">
      <w:pPr>
        <w:pStyle w:val="StandardWeb"/>
        <w:spacing w:before="0" w:beforeAutospacing="0" w:after="0" w:afterAutospacing="0"/>
        <w:ind w:right="565"/>
        <w:rPr>
          <w:rFonts w:ascii="Trebuchet MS" w:hAnsi="Trebuchet MS"/>
          <w:color w:val="000000"/>
          <w:sz w:val="28"/>
          <w:szCs w:val="28"/>
        </w:rPr>
      </w:pPr>
    </w:p>
    <w:p w:rsidR="00E4219C" w:rsidRDefault="00E4219C" w:rsidP="00E4219C">
      <w:pPr>
        <w:pStyle w:val="StandardWeb"/>
        <w:spacing w:before="0" w:beforeAutospacing="0" w:after="0" w:afterAutospacing="0"/>
        <w:ind w:right="282"/>
        <w:rPr>
          <w:rFonts w:ascii="Trebuchet MS" w:hAnsi="Trebuchet MS"/>
          <w:sz w:val="22"/>
          <w:szCs w:val="22"/>
        </w:rPr>
      </w:pPr>
      <w:r w:rsidRPr="00E4219C">
        <w:rPr>
          <w:rFonts w:ascii="Trebuchet MS" w:hAnsi="Trebuchet MS"/>
          <w:sz w:val="22"/>
          <w:szCs w:val="22"/>
        </w:rPr>
        <w:t xml:space="preserve">Der neue </w:t>
      </w:r>
      <w:r w:rsidRPr="00FE0C37">
        <w:rPr>
          <w:rFonts w:ascii="Trebuchet MS" w:hAnsi="Trebuchet MS"/>
          <w:b/>
          <w:sz w:val="22"/>
          <w:szCs w:val="22"/>
        </w:rPr>
        <w:t>Heidelberger Kommentar zum Geschäftsgeheimnisgesetz</w:t>
      </w:r>
      <w:r w:rsidRPr="00E4219C">
        <w:rPr>
          <w:rFonts w:ascii="Trebuchet MS" w:hAnsi="Trebuchet MS"/>
          <w:sz w:val="22"/>
          <w:szCs w:val="22"/>
        </w:rPr>
        <w:t xml:space="preserve"> und dem kürzlich in Kraft getretenen </w:t>
      </w:r>
      <w:r w:rsidRPr="00FE0C37">
        <w:rPr>
          <w:rFonts w:ascii="Trebuchet MS" w:hAnsi="Trebuchet MS"/>
          <w:b/>
          <w:sz w:val="22"/>
          <w:szCs w:val="22"/>
        </w:rPr>
        <w:t>Hinweisgeberschutzgesetz</w:t>
      </w:r>
      <w:r w:rsidRPr="00E4219C">
        <w:rPr>
          <w:rFonts w:ascii="Trebuchet MS" w:hAnsi="Trebuchet MS"/>
          <w:sz w:val="22"/>
          <w:szCs w:val="22"/>
        </w:rPr>
        <w:t xml:space="preserve"> beleuchtet umfassend alle Fragestellungen, die sich aus dem zwischen beiden Gesetzen entstehenden Spannungsfeld ergeben.</w:t>
      </w:r>
    </w:p>
    <w:p w:rsidR="00E4219C" w:rsidRPr="00E4219C" w:rsidRDefault="00E4219C" w:rsidP="00E4219C">
      <w:pPr>
        <w:pStyle w:val="StandardWeb"/>
        <w:spacing w:before="0" w:beforeAutospacing="0" w:after="0" w:afterAutospacing="0"/>
        <w:ind w:right="282"/>
        <w:rPr>
          <w:rFonts w:ascii="Trebuchet MS" w:hAnsi="Trebuchet MS"/>
          <w:sz w:val="22"/>
          <w:szCs w:val="22"/>
        </w:rPr>
      </w:pPr>
    </w:p>
    <w:p w:rsidR="00E4219C" w:rsidRDefault="00E4219C" w:rsidP="00E4219C">
      <w:pPr>
        <w:pStyle w:val="StandardWeb"/>
        <w:spacing w:before="0" w:beforeAutospacing="0" w:after="0" w:afterAutospacing="0"/>
        <w:ind w:right="282"/>
        <w:rPr>
          <w:rFonts w:ascii="Trebuchet MS" w:hAnsi="Trebuchet MS"/>
          <w:sz w:val="22"/>
          <w:szCs w:val="22"/>
        </w:rPr>
      </w:pPr>
      <w:r w:rsidRPr="00E4219C">
        <w:rPr>
          <w:rFonts w:ascii="Trebuchet MS" w:hAnsi="Trebuchet MS"/>
          <w:sz w:val="22"/>
          <w:szCs w:val="22"/>
        </w:rPr>
        <w:t>Der grundrechtlich fundierte Schutz von Geschäftsgeheimnissen und deren Inhabern kollidiert mit dem Interesse der Allgemeinheit an der Aufdeckung von Verstößen in Unternehmen und staatlichen Organisationen. Um „redliche“ Hinweisgeber (Whistleblower) zu schützen, hat die EU 2019 in einer Richtlinie Mindeststandards formuliert, die jetzt in nationales Recht umgesetzt wurden (</w:t>
      </w:r>
      <w:proofErr w:type="spellStart"/>
      <w:r w:rsidRPr="00E4219C">
        <w:rPr>
          <w:rStyle w:val="Fett"/>
          <w:rFonts w:ascii="Trebuchet MS" w:hAnsi="Trebuchet MS"/>
          <w:sz w:val="22"/>
          <w:szCs w:val="22"/>
        </w:rPr>
        <w:t>HinSchG</w:t>
      </w:r>
      <w:proofErr w:type="spellEnd"/>
      <w:r w:rsidRPr="00E4219C">
        <w:rPr>
          <w:rFonts w:ascii="Trebuchet MS" w:hAnsi="Trebuchet MS"/>
          <w:sz w:val="22"/>
          <w:szCs w:val="22"/>
        </w:rPr>
        <w:t>). Demgegenüber steht das ebenfalls auf EU-Recht beruhende Geschäftsgeheimnisgesetz, welches der Wahrung von schützenswertem Know-how dient (</w:t>
      </w:r>
      <w:proofErr w:type="spellStart"/>
      <w:r w:rsidRPr="00E4219C">
        <w:rPr>
          <w:rStyle w:val="Fett"/>
          <w:rFonts w:ascii="Trebuchet MS" w:hAnsi="Trebuchet MS"/>
          <w:sz w:val="22"/>
          <w:szCs w:val="22"/>
        </w:rPr>
        <w:t>GeschGehG</w:t>
      </w:r>
      <w:proofErr w:type="spellEnd"/>
      <w:r w:rsidRPr="00E4219C">
        <w:rPr>
          <w:rFonts w:ascii="Trebuchet MS" w:hAnsi="Trebuchet MS"/>
          <w:sz w:val="22"/>
          <w:szCs w:val="22"/>
        </w:rPr>
        <w:t>).</w:t>
      </w:r>
    </w:p>
    <w:p w:rsidR="00E4219C" w:rsidRPr="00E4219C" w:rsidRDefault="00E4219C" w:rsidP="00E4219C">
      <w:pPr>
        <w:pStyle w:val="StandardWeb"/>
        <w:spacing w:before="0" w:beforeAutospacing="0" w:after="0" w:afterAutospacing="0"/>
        <w:ind w:right="282"/>
        <w:rPr>
          <w:rFonts w:ascii="Trebuchet MS" w:hAnsi="Trebuchet MS"/>
          <w:sz w:val="22"/>
          <w:szCs w:val="22"/>
        </w:rPr>
      </w:pPr>
    </w:p>
    <w:p w:rsidR="00E4219C" w:rsidRDefault="00E4219C" w:rsidP="00E4219C">
      <w:pPr>
        <w:pStyle w:val="StandardWeb"/>
        <w:spacing w:before="0" w:beforeAutospacing="0" w:after="0" w:afterAutospacing="0"/>
        <w:ind w:right="282"/>
        <w:rPr>
          <w:rFonts w:ascii="Trebuchet MS" w:hAnsi="Trebuchet MS"/>
          <w:sz w:val="22"/>
          <w:szCs w:val="22"/>
        </w:rPr>
      </w:pPr>
      <w:r w:rsidRPr="00E4219C">
        <w:rPr>
          <w:rFonts w:ascii="Trebuchet MS" w:hAnsi="Trebuchet MS"/>
          <w:sz w:val="22"/>
          <w:szCs w:val="22"/>
        </w:rPr>
        <w:t xml:space="preserve">Systematisch und vergleichend erfolgt in diesem Kommentar zunächst eine Einbeziehung von Ansprüchen aus PatG, UWG, UrhG, GebrMG, </w:t>
      </w:r>
      <w:proofErr w:type="spellStart"/>
      <w:r w:rsidRPr="00E4219C">
        <w:rPr>
          <w:rFonts w:ascii="Trebuchet MS" w:hAnsi="Trebuchet MS"/>
          <w:sz w:val="22"/>
          <w:szCs w:val="22"/>
        </w:rPr>
        <w:t>DesignG</w:t>
      </w:r>
      <w:proofErr w:type="spellEnd"/>
      <w:r w:rsidRPr="00E4219C">
        <w:rPr>
          <w:rFonts w:ascii="Trebuchet MS" w:hAnsi="Trebuchet MS"/>
          <w:sz w:val="22"/>
          <w:szCs w:val="22"/>
        </w:rPr>
        <w:t xml:space="preserve">, MarkenG und </w:t>
      </w:r>
      <w:proofErr w:type="spellStart"/>
      <w:r w:rsidRPr="00E4219C">
        <w:rPr>
          <w:rFonts w:ascii="Trebuchet MS" w:hAnsi="Trebuchet MS"/>
          <w:sz w:val="22"/>
          <w:szCs w:val="22"/>
        </w:rPr>
        <w:t>SortSchG</w:t>
      </w:r>
      <w:proofErr w:type="spellEnd"/>
      <w:r w:rsidRPr="00E4219C">
        <w:rPr>
          <w:rFonts w:ascii="Trebuchet MS" w:hAnsi="Trebuchet MS"/>
          <w:sz w:val="22"/>
          <w:szCs w:val="22"/>
        </w:rPr>
        <w:t xml:space="preserve">, um Auslegungsmaßstäbe und -kriterien für das </w:t>
      </w:r>
      <w:proofErr w:type="spellStart"/>
      <w:r w:rsidRPr="00E4219C">
        <w:rPr>
          <w:rFonts w:ascii="Trebuchet MS" w:hAnsi="Trebuchet MS"/>
          <w:sz w:val="22"/>
          <w:szCs w:val="22"/>
        </w:rPr>
        <w:t>GeschGehG</w:t>
      </w:r>
      <w:proofErr w:type="spellEnd"/>
      <w:r w:rsidRPr="00E4219C">
        <w:rPr>
          <w:rFonts w:ascii="Trebuchet MS" w:hAnsi="Trebuchet MS"/>
          <w:sz w:val="22"/>
          <w:szCs w:val="22"/>
        </w:rPr>
        <w:t xml:space="preserve"> aufzuzeigen. Je ein eigener prozessualer Teil ist den Fragen der Rechtsdurchsetzung bzw. -verteidigung von Antragsfassung bis Vollstreckung gewidmet.</w:t>
      </w:r>
    </w:p>
    <w:p w:rsidR="00E4219C" w:rsidRPr="00E4219C" w:rsidRDefault="00E4219C" w:rsidP="00E4219C">
      <w:pPr>
        <w:pStyle w:val="StandardWeb"/>
        <w:spacing w:before="0" w:beforeAutospacing="0" w:after="0" w:afterAutospacing="0"/>
        <w:ind w:right="282"/>
        <w:rPr>
          <w:rFonts w:ascii="Trebuchet MS" w:hAnsi="Trebuchet MS"/>
          <w:sz w:val="22"/>
          <w:szCs w:val="22"/>
        </w:rPr>
      </w:pPr>
    </w:p>
    <w:p w:rsidR="00E4219C" w:rsidRDefault="00E4219C" w:rsidP="00E4219C">
      <w:pPr>
        <w:pStyle w:val="StandardWeb"/>
        <w:spacing w:before="0" w:beforeAutospacing="0" w:after="0" w:afterAutospacing="0"/>
        <w:ind w:right="282"/>
        <w:rPr>
          <w:rFonts w:ascii="Trebuchet MS" w:hAnsi="Trebuchet MS"/>
          <w:sz w:val="22"/>
          <w:szCs w:val="22"/>
        </w:rPr>
      </w:pPr>
      <w:r w:rsidRPr="00E4219C">
        <w:rPr>
          <w:rFonts w:ascii="Trebuchet MS" w:hAnsi="Trebuchet MS"/>
          <w:sz w:val="22"/>
          <w:szCs w:val="22"/>
        </w:rPr>
        <w:t>Bei der Erläuterung des Hinweisgeberschutzes stehen der verfahrensrechtliche Rahmen für Meldungen, das Verhältnis der Meldekanäle zueinander sowie persönliche und sachliche Reichweite des Schutzes von Hinweisgebern und Hilfspersonen im Vordergrund. Ein weiterer praxisrelevanter Schwerpunkt liegt in einer Betrachtung der Verknüpfungsmöglichkeiten des allgemeinen Systems mit bereits bestehenden bereichsspezifischen Melde- und Beschwerdeverfahren. Zudem wird erörtert, an welchen Stellen sich wegen Mängeln bei der Umsetzung sowie bei Wertungs- und Normwidersprüchen auch auf EU-Ebene Vorlagen zum EuGH aufdrängen.</w:t>
      </w:r>
    </w:p>
    <w:p w:rsidR="00E4219C" w:rsidRPr="00E4219C" w:rsidRDefault="00E4219C" w:rsidP="00E4219C">
      <w:pPr>
        <w:pStyle w:val="StandardWeb"/>
        <w:spacing w:before="0" w:beforeAutospacing="0" w:after="0" w:afterAutospacing="0"/>
        <w:ind w:right="282"/>
        <w:rPr>
          <w:rFonts w:ascii="Trebuchet MS" w:hAnsi="Trebuchet MS"/>
          <w:sz w:val="22"/>
          <w:szCs w:val="22"/>
        </w:rPr>
      </w:pPr>
    </w:p>
    <w:p w:rsidR="00E4219C" w:rsidRPr="00E4219C" w:rsidRDefault="00E4219C" w:rsidP="00E4219C">
      <w:pPr>
        <w:pStyle w:val="StandardWeb"/>
        <w:spacing w:before="0" w:beforeAutospacing="0" w:after="0" w:afterAutospacing="0"/>
        <w:ind w:right="282"/>
        <w:rPr>
          <w:rFonts w:ascii="Trebuchet MS" w:hAnsi="Trebuchet MS"/>
          <w:sz w:val="22"/>
          <w:szCs w:val="22"/>
        </w:rPr>
      </w:pPr>
      <w:r w:rsidRPr="00E4219C">
        <w:rPr>
          <w:rFonts w:ascii="Trebuchet MS" w:hAnsi="Trebuchet MS"/>
          <w:sz w:val="22"/>
          <w:szCs w:val="22"/>
        </w:rPr>
        <w:t xml:space="preserve">Zum richtigen Umgang mit </w:t>
      </w:r>
      <w:r w:rsidRPr="00FE0C37">
        <w:rPr>
          <w:rFonts w:ascii="Trebuchet MS" w:hAnsi="Trebuchet MS"/>
          <w:b/>
          <w:sz w:val="22"/>
          <w:szCs w:val="22"/>
        </w:rPr>
        <w:t xml:space="preserve">Geschäftsgeheimnissen </w:t>
      </w:r>
      <w:r w:rsidR="00FE0C37">
        <w:rPr>
          <w:rFonts w:ascii="Trebuchet MS" w:hAnsi="Trebuchet MS"/>
          <w:b/>
          <w:sz w:val="22"/>
          <w:szCs w:val="22"/>
        </w:rPr>
        <w:t>&amp;</w:t>
      </w:r>
      <w:r w:rsidRPr="00FE0C37">
        <w:rPr>
          <w:rFonts w:ascii="Trebuchet MS" w:hAnsi="Trebuchet MS"/>
          <w:b/>
          <w:sz w:val="22"/>
          <w:szCs w:val="22"/>
        </w:rPr>
        <w:t xml:space="preserve"> Whistleblowing</w:t>
      </w:r>
      <w:r w:rsidRPr="00E4219C">
        <w:rPr>
          <w:rFonts w:ascii="Trebuchet MS" w:hAnsi="Trebuchet MS"/>
          <w:sz w:val="22"/>
          <w:szCs w:val="22"/>
        </w:rPr>
        <w:t xml:space="preserve"> </w:t>
      </w:r>
      <w:r w:rsidR="00FE0C37">
        <w:rPr>
          <w:rFonts w:ascii="Trebuchet MS" w:hAnsi="Trebuchet MS"/>
          <w:sz w:val="22"/>
          <w:szCs w:val="22"/>
        </w:rPr>
        <w:t xml:space="preserve">ist </w:t>
      </w:r>
      <w:r w:rsidR="00776164">
        <w:rPr>
          <w:rFonts w:ascii="Trebuchet MS" w:hAnsi="Trebuchet MS"/>
          <w:sz w:val="22"/>
          <w:szCs w:val="22"/>
        </w:rPr>
        <w:t>von Gramlich/</w:t>
      </w:r>
      <w:r w:rsidR="00776164" w:rsidRPr="00776164">
        <w:rPr>
          <w:rFonts w:ascii="Trebuchet MS" w:hAnsi="Trebuchet MS"/>
          <w:sz w:val="22"/>
          <w:szCs w:val="22"/>
        </w:rPr>
        <w:t xml:space="preserve"> </w:t>
      </w:r>
      <w:r w:rsidR="00776164">
        <w:rPr>
          <w:rFonts w:ascii="Trebuchet MS" w:hAnsi="Trebuchet MS"/>
          <w:sz w:val="22"/>
          <w:szCs w:val="22"/>
        </w:rPr>
        <w:t xml:space="preserve">Lütke </w:t>
      </w:r>
      <w:r w:rsidR="00FE0C37">
        <w:rPr>
          <w:rFonts w:ascii="Trebuchet MS" w:hAnsi="Trebuchet MS"/>
          <w:sz w:val="22"/>
          <w:szCs w:val="22"/>
        </w:rPr>
        <w:t>bereits seit Oktober vergangenen Jahres ein Leitfaden</w:t>
      </w:r>
      <w:r w:rsidR="00776164">
        <w:rPr>
          <w:rFonts w:ascii="Trebuchet MS" w:hAnsi="Trebuchet MS"/>
          <w:sz w:val="22"/>
          <w:szCs w:val="22"/>
        </w:rPr>
        <w:t xml:space="preserve"> f</w:t>
      </w:r>
      <w:r w:rsidR="00776164" w:rsidRPr="00776164">
        <w:rPr>
          <w:rFonts w:ascii="Trebuchet MS" w:hAnsi="Trebuchet MS"/>
          <w:sz w:val="22"/>
          <w:szCs w:val="22"/>
        </w:rPr>
        <w:t>ür den geschäftlichen Allta</w:t>
      </w:r>
      <w:r w:rsidR="00776164">
        <w:rPr>
          <w:rFonts w:ascii="Trebuchet MS" w:hAnsi="Trebuchet MS"/>
          <w:sz w:val="22"/>
          <w:szCs w:val="22"/>
        </w:rPr>
        <w:t>g</w:t>
      </w:r>
      <w:r w:rsidR="00FE0C37">
        <w:rPr>
          <w:rFonts w:ascii="Trebuchet MS" w:hAnsi="Trebuchet MS"/>
          <w:sz w:val="22"/>
          <w:szCs w:val="22"/>
        </w:rPr>
        <w:t xml:space="preserve"> </w:t>
      </w:r>
      <w:r w:rsidRPr="00E4219C">
        <w:rPr>
          <w:rFonts w:ascii="Trebuchet MS" w:hAnsi="Trebuchet MS"/>
          <w:sz w:val="22"/>
          <w:szCs w:val="22"/>
        </w:rPr>
        <w:t>erhältlich</w:t>
      </w:r>
      <w:r w:rsidR="00FE0C37">
        <w:rPr>
          <w:rFonts w:ascii="Trebuchet MS" w:hAnsi="Trebuchet MS"/>
          <w:sz w:val="22"/>
          <w:szCs w:val="22"/>
        </w:rPr>
        <w:t>.</w:t>
      </w:r>
    </w:p>
    <w:p w:rsidR="000F5C2F" w:rsidRDefault="000F5C2F" w:rsidP="000F5C2F">
      <w:pPr>
        <w:ind w:right="565"/>
        <w:rPr>
          <w:rFonts w:ascii="Trebuchet MS" w:hAnsi="Trebuchet MS"/>
          <w:sz w:val="22"/>
          <w:szCs w:val="22"/>
        </w:rPr>
      </w:pPr>
    </w:p>
    <w:p w:rsidR="00F4587F" w:rsidRPr="00FE17AC" w:rsidRDefault="00F4587F" w:rsidP="000F5C2F">
      <w:pPr>
        <w:ind w:right="565"/>
        <w:rPr>
          <w:rFonts w:ascii="Trebuchet MS" w:hAnsi="Trebuchet MS"/>
          <w:sz w:val="22"/>
          <w:szCs w:val="22"/>
        </w:rPr>
      </w:pPr>
    </w:p>
    <w:p w:rsidR="004C49F4" w:rsidRPr="0008174E" w:rsidRDefault="0016312D" w:rsidP="0008174E">
      <w:pPr>
        <w:pStyle w:val="berschrift6"/>
        <w:rPr>
          <w:rFonts w:ascii="Trebuchet MS" w:hAnsi="Trebuchet MS"/>
          <w:color w:val="auto"/>
          <w:sz w:val="22"/>
        </w:rPr>
      </w:pPr>
      <w:proofErr w:type="spellStart"/>
      <w:r w:rsidRPr="0008174E">
        <w:rPr>
          <w:rFonts w:ascii="Trebuchet MS" w:hAnsi="Trebuchet MS"/>
          <w:b/>
          <w:color w:val="auto"/>
          <w:sz w:val="22"/>
          <w:szCs w:val="22"/>
        </w:rPr>
        <w:t>Gesch</w:t>
      </w:r>
      <w:r w:rsidR="0008174E" w:rsidRPr="0008174E">
        <w:rPr>
          <w:rFonts w:ascii="Trebuchet MS" w:hAnsi="Trebuchet MS"/>
          <w:b/>
          <w:color w:val="auto"/>
          <w:sz w:val="22"/>
          <w:szCs w:val="22"/>
        </w:rPr>
        <w:t>GehG</w:t>
      </w:r>
      <w:proofErr w:type="spellEnd"/>
      <w:r w:rsidR="0008174E" w:rsidRPr="0008174E">
        <w:rPr>
          <w:rFonts w:ascii="Trebuchet MS" w:hAnsi="Trebuchet MS"/>
          <w:b/>
          <w:color w:val="auto"/>
          <w:sz w:val="22"/>
          <w:szCs w:val="22"/>
        </w:rPr>
        <w:t xml:space="preserve"> /</w:t>
      </w:r>
      <w:r w:rsidR="0008174E">
        <w:rPr>
          <w:rFonts w:ascii="Trebuchet MS" w:hAnsi="Trebuchet MS"/>
          <w:b/>
          <w:color w:val="auto"/>
          <w:sz w:val="22"/>
          <w:szCs w:val="22"/>
        </w:rPr>
        <w:t xml:space="preserve"> </w:t>
      </w:r>
      <w:proofErr w:type="spellStart"/>
      <w:r w:rsidR="0008174E" w:rsidRPr="0008174E">
        <w:rPr>
          <w:rFonts w:ascii="Trebuchet MS" w:hAnsi="Trebuchet MS"/>
          <w:b/>
          <w:color w:val="auto"/>
          <w:sz w:val="22"/>
          <w:szCs w:val="22"/>
        </w:rPr>
        <w:t>HinSchG</w:t>
      </w:r>
      <w:proofErr w:type="spellEnd"/>
      <w:r w:rsidR="0008174E" w:rsidRPr="0008174E">
        <w:rPr>
          <w:rFonts w:ascii="Trebuchet MS" w:hAnsi="Trebuchet MS"/>
          <w:b/>
          <w:color w:val="auto"/>
          <w:sz w:val="22"/>
          <w:szCs w:val="22"/>
        </w:rPr>
        <w:t xml:space="preserve">. </w:t>
      </w:r>
      <w:r w:rsidR="0008174E" w:rsidRPr="0008174E">
        <w:rPr>
          <w:rFonts w:ascii="Trebuchet MS" w:hAnsi="Trebuchet MS"/>
          <w:color w:val="auto"/>
          <w:sz w:val="22"/>
          <w:szCs w:val="22"/>
        </w:rPr>
        <w:t>Spannungsverhältnis zwischen Schutz von Geschäftsgeheimnissen und Whistleblowing</w:t>
      </w:r>
      <w:r w:rsidRPr="0008174E">
        <w:rPr>
          <w:rFonts w:ascii="Trebuchet MS" w:hAnsi="Trebuchet MS"/>
          <w:color w:val="auto"/>
          <w:sz w:val="22"/>
          <w:szCs w:val="22"/>
        </w:rPr>
        <w:t xml:space="preserve">. </w:t>
      </w:r>
      <w:r w:rsidR="0008174E">
        <w:rPr>
          <w:rFonts w:ascii="Trebuchet MS" w:hAnsi="Trebuchet MS"/>
          <w:color w:val="auto"/>
          <w:sz w:val="22"/>
          <w:szCs w:val="22"/>
        </w:rPr>
        <w:t>Herausgegeben v</w:t>
      </w:r>
      <w:r w:rsidR="004C49F4" w:rsidRPr="0008174E">
        <w:rPr>
          <w:rFonts w:ascii="Trebuchet MS" w:hAnsi="Trebuchet MS"/>
          <w:color w:val="auto"/>
          <w:sz w:val="22"/>
        </w:rPr>
        <w:t xml:space="preserve">on </w:t>
      </w:r>
      <w:r w:rsidR="0008174E" w:rsidRPr="0008174E">
        <w:rPr>
          <w:rFonts w:ascii="Trebuchet MS" w:hAnsi="Trebuchet MS"/>
          <w:color w:val="auto"/>
          <w:sz w:val="22"/>
        </w:rPr>
        <w:t xml:space="preserve">Prof. i.R. Dr. Ludwig Gramlich </w:t>
      </w:r>
      <w:r w:rsidR="0008174E">
        <w:rPr>
          <w:rFonts w:ascii="Trebuchet MS" w:hAnsi="Trebuchet MS"/>
          <w:color w:val="auto"/>
          <w:sz w:val="22"/>
        </w:rPr>
        <w:t xml:space="preserve">und </w:t>
      </w:r>
      <w:r w:rsidRPr="0008174E">
        <w:rPr>
          <w:rFonts w:ascii="Trebuchet MS" w:hAnsi="Trebuchet MS"/>
          <w:color w:val="auto"/>
          <w:sz w:val="22"/>
        </w:rPr>
        <w:t xml:space="preserve">Dr. Hans-Josef </w:t>
      </w:r>
      <w:proofErr w:type="spellStart"/>
      <w:r w:rsidRPr="0008174E">
        <w:rPr>
          <w:rFonts w:ascii="Trebuchet MS" w:hAnsi="Trebuchet MS"/>
          <w:color w:val="auto"/>
          <w:sz w:val="22"/>
        </w:rPr>
        <w:t>Lütke</w:t>
      </w:r>
      <w:proofErr w:type="spellEnd"/>
      <w:r w:rsidRPr="0008174E">
        <w:rPr>
          <w:rFonts w:ascii="Trebuchet MS" w:hAnsi="Trebuchet MS"/>
          <w:color w:val="auto"/>
          <w:sz w:val="22"/>
        </w:rPr>
        <w:t>, Rechtsanwalt, Fachanwalt für Urheber- und Medienrecht</w:t>
      </w:r>
      <w:r w:rsidR="006B3BE9" w:rsidRPr="0008174E">
        <w:rPr>
          <w:rFonts w:ascii="Trebuchet MS" w:hAnsi="Trebuchet MS"/>
          <w:color w:val="auto"/>
          <w:sz w:val="22"/>
        </w:rPr>
        <w:t>.</w:t>
      </w:r>
      <w:r w:rsidR="004C49F4" w:rsidRPr="0008174E">
        <w:rPr>
          <w:rFonts w:ascii="Trebuchet MS" w:hAnsi="Trebuchet MS"/>
          <w:color w:val="auto"/>
          <w:sz w:val="22"/>
        </w:rPr>
        <w:t xml:space="preserve"> 20</w:t>
      </w:r>
      <w:r w:rsidR="006B3BE9" w:rsidRPr="0008174E">
        <w:rPr>
          <w:rFonts w:ascii="Trebuchet MS" w:hAnsi="Trebuchet MS"/>
          <w:color w:val="auto"/>
          <w:sz w:val="22"/>
        </w:rPr>
        <w:t>2</w:t>
      </w:r>
      <w:r w:rsidR="0008174E">
        <w:rPr>
          <w:rFonts w:ascii="Trebuchet MS" w:hAnsi="Trebuchet MS"/>
          <w:color w:val="auto"/>
          <w:sz w:val="22"/>
        </w:rPr>
        <w:t>4</w:t>
      </w:r>
      <w:r w:rsidRPr="0008174E">
        <w:rPr>
          <w:rFonts w:ascii="Trebuchet MS" w:hAnsi="Trebuchet MS"/>
          <w:color w:val="auto"/>
          <w:sz w:val="22"/>
        </w:rPr>
        <w:t>. X</w:t>
      </w:r>
      <w:r w:rsidR="0008174E">
        <w:rPr>
          <w:rFonts w:ascii="Trebuchet MS" w:hAnsi="Trebuchet MS"/>
          <w:color w:val="auto"/>
          <w:sz w:val="22"/>
        </w:rPr>
        <w:t>X</w:t>
      </w:r>
      <w:r w:rsidR="006B3BE9" w:rsidRPr="0008174E">
        <w:rPr>
          <w:rFonts w:ascii="Trebuchet MS" w:hAnsi="Trebuchet MS"/>
          <w:color w:val="auto"/>
          <w:sz w:val="22"/>
        </w:rPr>
        <w:t>V</w:t>
      </w:r>
      <w:r w:rsidR="0008174E">
        <w:rPr>
          <w:rFonts w:ascii="Trebuchet MS" w:hAnsi="Trebuchet MS"/>
          <w:color w:val="auto"/>
          <w:sz w:val="22"/>
        </w:rPr>
        <w:t>I</w:t>
      </w:r>
      <w:r w:rsidR="004C49F4" w:rsidRPr="0008174E">
        <w:rPr>
          <w:rFonts w:ascii="Trebuchet MS" w:hAnsi="Trebuchet MS"/>
          <w:color w:val="auto"/>
          <w:sz w:val="22"/>
        </w:rPr>
        <w:t xml:space="preserve">, </w:t>
      </w:r>
      <w:r w:rsidRPr="0008174E">
        <w:rPr>
          <w:rFonts w:ascii="Trebuchet MS" w:hAnsi="Trebuchet MS"/>
          <w:color w:val="auto"/>
          <w:sz w:val="22"/>
        </w:rPr>
        <w:t>1</w:t>
      </w:r>
      <w:r w:rsidR="0008174E">
        <w:rPr>
          <w:rFonts w:ascii="Trebuchet MS" w:hAnsi="Trebuchet MS"/>
          <w:color w:val="auto"/>
          <w:sz w:val="22"/>
        </w:rPr>
        <w:t>056</w:t>
      </w:r>
      <w:r w:rsidR="004C49F4" w:rsidRPr="0008174E">
        <w:rPr>
          <w:rFonts w:ascii="Trebuchet MS" w:hAnsi="Trebuchet MS"/>
          <w:color w:val="auto"/>
          <w:sz w:val="22"/>
        </w:rPr>
        <w:t xml:space="preserve"> Seiten. </w:t>
      </w:r>
      <w:r w:rsidR="00723BCB" w:rsidRPr="0008174E">
        <w:rPr>
          <w:rFonts w:ascii="Trebuchet MS" w:hAnsi="Trebuchet MS"/>
          <w:color w:val="auto"/>
          <w:sz w:val="22"/>
        </w:rPr>
        <w:t>Gebunden</w:t>
      </w:r>
      <w:r w:rsidR="004C49F4" w:rsidRPr="0008174E">
        <w:rPr>
          <w:rFonts w:ascii="Trebuchet MS" w:hAnsi="Trebuchet MS"/>
          <w:color w:val="auto"/>
          <w:sz w:val="22"/>
        </w:rPr>
        <w:t xml:space="preserve">. </w:t>
      </w:r>
      <w:r w:rsidRPr="0008174E">
        <w:rPr>
          <w:rFonts w:ascii="Trebuchet MS" w:hAnsi="Trebuchet MS"/>
          <w:color w:val="auto"/>
          <w:sz w:val="22"/>
        </w:rPr>
        <w:br/>
      </w:r>
      <w:r w:rsidR="004C49F4" w:rsidRPr="0008174E">
        <w:rPr>
          <w:rFonts w:ascii="Trebuchet MS" w:hAnsi="Trebuchet MS"/>
          <w:color w:val="auto"/>
          <w:sz w:val="22"/>
        </w:rPr>
        <w:t xml:space="preserve">€ </w:t>
      </w:r>
      <w:r w:rsidR="0008174E">
        <w:rPr>
          <w:rFonts w:ascii="Trebuchet MS" w:hAnsi="Trebuchet MS"/>
          <w:color w:val="auto"/>
          <w:sz w:val="22"/>
        </w:rPr>
        <w:t>15</w:t>
      </w:r>
      <w:r w:rsidRPr="0008174E">
        <w:rPr>
          <w:rFonts w:ascii="Trebuchet MS" w:hAnsi="Trebuchet MS"/>
          <w:color w:val="auto"/>
          <w:sz w:val="22"/>
        </w:rPr>
        <w:t>9</w:t>
      </w:r>
      <w:r w:rsidR="004C49F4" w:rsidRPr="0008174E">
        <w:rPr>
          <w:rFonts w:ascii="Trebuchet MS" w:hAnsi="Trebuchet MS"/>
          <w:color w:val="auto"/>
          <w:sz w:val="22"/>
        </w:rPr>
        <w:t>,</w:t>
      </w:r>
      <w:proofErr w:type="gramStart"/>
      <w:r w:rsidR="009A28CE" w:rsidRPr="0008174E">
        <w:rPr>
          <w:rFonts w:ascii="Trebuchet MS" w:hAnsi="Trebuchet MS"/>
          <w:color w:val="auto"/>
          <w:sz w:val="22"/>
        </w:rPr>
        <w:t>-</w:t>
      </w:r>
      <w:r w:rsidR="004C49F4" w:rsidRPr="0008174E">
        <w:rPr>
          <w:rFonts w:ascii="Trebuchet MS" w:hAnsi="Trebuchet MS"/>
          <w:color w:val="auto"/>
          <w:sz w:val="22"/>
        </w:rPr>
        <w:t xml:space="preserve">  ISBN</w:t>
      </w:r>
      <w:proofErr w:type="gramEnd"/>
      <w:r w:rsidR="004C49F4" w:rsidRPr="0008174E">
        <w:rPr>
          <w:rFonts w:ascii="Trebuchet MS" w:hAnsi="Trebuchet MS"/>
          <w:color w:val="auto"/>
          <w:sz w:val="22"/>
        </w:rPr>
        <w:t xml:space="preserve">  </w:t>
      </w:r>
      <w:bookmarkStart w:id="0" w:name="_GoBack"/>
      <w:r w:rsidR="004C49F4" w:rsidRPr="0008174E">
        <w:rPr>
          <w:rFonts w:ascii="Trebuchet MS" w:hAnsi="Trebuchet MS"/>
          <w:color w:val="auto"/>
          <w:sz w:val="22"/>
        </w:rPr>
        <w:t>978-3-8114-</w:t>
      </w:r>
      <w:r w:rsidRPr="0008174E">
        <w:rPr>
          <w:rFonts w:ascii="Trebuchet MS" w:hAnsi="Trebuchet MS"/>
          <w:color w:val="auto"/>
          <w:sz w:val="22"/>
        </w:rPr>
        <w:t>61</w:t>
      </w:r>
      <w:r w:rsidR="0008174E">
        <w:rPr>
          <w:rFonts w:ascii="Trebuchet MS" w:hAnsi="Trebuchet MS"/>
          <w:color w:val="auto"/>
          <w:sz w:val="22"/>
        </w:rPr>
        <w:t>29</w:t>
      </w:r>
      <w:r w:rsidR="004C49F4" w:rsidRPr="0008174E">
        <w:rPr>
          <w:rFonts w:ascii="Trebuchet MS" w:hAnsi="Trebuchet MS"/>
          <w:color w:val="auto"/>
          <w:sz w:val="22"/>
        </w:rPr>
        <w:t>-</w:t>
      </w:r>
      <w:r w:rsidRPr="0008174E">
        <w:rPr>
          <w:rFonts w:ascii="Trebuchet MS" w:hAnsi="Trebuchet MS"/>
          <w:color w:val="auto"/>
          <w:sz w:val="22"/>
        </w:rPr>
        <w:t>1</w:t>
      </w:r>
      <w:bookmarkEnd w:id="0"/>
      <w:r w:rsidR="004C49F4" w:rsidRPr="0008174E">
        <w:rPr>
          <w:rFonts w:ascii="Trebuchet MS" w:hAnsi="Trebuchet MS"/>
          <w:color w:val="auto"/>
          <w:sz w:val="22"/>
        </w:rPr>
        <w:t xml:space="preserve">  </w:t>
      </w:r>
      <w:r w:rsidR="004C49F4" w:rsidRPr="0008174E">
        <w:rPr>
          <w:rFonts w:ascii="Trebuchet MS" w:hAnsi="Trebuchet MS"/>
          <w:color w:val="auto"/>
          <w:sz w:val="22"/>
          <w:szCs w:val="22"/>
        </w:rPr>
        <w:t xml:space="preserve"> </w:t>
      </w:r>
      <w:r w:rsidR="004C49F4" w:rsidRPr="0008174E">
        <w:rPr>
          <w:rFonts w:ascii="Trebuchet MS" w:hAnsi="Trebuchet MS"/>
          <w:color w:val="auto"/>
          <w:sz w:val="22"/>
          <w:szCs w:val="22"/>
        </w:rPr>
        <w:br/>
      </w:r>
      <w:r w:rsidRPr="0008174E">
        <w:rPr>
          <w:rFonts w:ascii="Trebuchet MS" w:hAnsi="Trebuchet MS"/>
          <w:color w:val="auto"/>
          <w:sz w:val="22"/>
          <w:szCs w:val="22"/>
        </w:rPr>
        <w:t>(</w:t>
      </w:r>
      <w:r w:rsidR="0008174E" w:rsidRPr="0008174E">
        <w:rPr>
          <w:rFonts w:ascii="Trebuchet MS" w:hAnsi="Trebuchet MS"/>
          <w:color w:val="auto"/>
          <w:sz w:val="22"/>
          <w:szCs w:val="22"/>
        </w:rPr>
        <w:t>Heidelberger Kommentar</w:t>
      </w:r>
      <w:r w:rsidR="004C49F4" w:rsidRPr="0008174E">
        <w:rPr>
          <w:rFonts w:ascii="Trebuchet MS" w:hAnsi="Trebuchet MS"/>
          <w:color w:val="auto"/>
          <w:sz w:val="22"/>
          <w:szCs w:val="22"/>
        </w:rPr>
        <w:t>)</w:t>
      </w:r>
    </w:p>
    <w:p w:rsidR="003E69CB" w:rsidRPr="00D31561" w:rsidRDefault="003E69CB" w:rsidP="000F5C2F">
      <w:pPr>
        <w:pStyle w:val="Textkrper20"/>
        <w:spacing w:line="276" w:lineRule="auto"/>
        <w:ind w:right="565"/>
        <w:rPr>
          <w:rFonts w:ascii="Trebuchet MS" w:hAnsi="Trebuchet MS"/>
          <w:b w:val="0"/>
          <w:bCs/>
          <w:sz w:val="22"/>
          <w:szCs w:val="22"/>
        </w:rPr>
      </w:pPr>
    </w:p>
    <w:p w:rsidR="008C3AEA" w:rsidRDefault="003E69CB" w:rsidP="000F5C2F">
      <w:pPr>
        <w:tabs>
          <w:tab w:val="left" w:pos="7144"/>
          <w:tab w:val="left" w:pos="8931"/>
          <w:tab w:val="left" w:pos="9498"/>
        </w:tabs>
        <w:spacing w:line="276" w:lineRule="auto"/>
        <w:ind w:right="565"/>
        <w:rPr>
          <w:rFonts w:ascii="Trebuchet MS" w:hAnsi="Trebuchet MS"/>
          <w:sz w:val="22"/>
          <w:szCs w:val="22"/>
        </w:rPr>
      </w:pPr>
      <w:r w:rsidRPr="00D31561">
        <w:rPr>
          <w:rFonts w:ascii="Trebuchet MS" w:hAnsi="Trebuchet MS"/>
          <w:i/>
          <w:sz w:val="22"/>
          <w:szCs w:val="22"/>
        </w:rPr>
        <w:t xml:space="preserve">Auch als </w:t>
      </w:r>
      <w:proofErr w:type="spellStart"/>
      <w:r w:rsidRPr="00D31561">
        <w:rPr>
          <w:rFonts w:ascii="Trebuchet MS" w:hAnsi="Trebuchet MS"/>
          <w:i/>
          <w:sz w:val="22"/>
          <w:szCs w:val="22"/>
        </w:rPr>
        <w:t>ebook</w:t>
      </w:r>
      <w:proofErr w:type="spellEnd"/>
      <w:r w:rsidRPr="00D31561">
        <w:rPr>
          <w:rFonts w:ascii="Trebuchet MS" w:hAnsi="Trebuchet MS"/>
          <w:sz w:val="22"/>
          <w:szCs w:val="22"/>
        </w:rPr>
        <w:t xml:space="preserve">: € </w:t>
      </w:r>
      <w:r w:rsidR="0008174E">
        <w:rPr>
          <w:rFonts w:ascii="Trebuchet MS" w:hAnsi="Trebuchet MS"/>
          <w:sz w:val="22"/>
          <w:szCs w:val="22"/>
        </w:rPr>
        <w:t>158</w:t>
      </w:r>
      <w:r w:rsidRPr="00D31561">
        <w:rPr>
          <w:rFonts w:ascii="Trebuchet MS" w:hAnsi="Trebuchet MS"/>
          <w:sz w:val="22"/>
          <w:szCs w:val="22"/>
        </w:rPr>
        <w:t>,</w:t>
      </w:r>
      <w:r w:rsidR="007D5955">
        <w:rPr>
          <w:rFonts w:ascii="Trebuchet MS" w:hAnsi="Trebuchet MS"/>
          <w:sz w:val="22"/>
          <w:szCs w:val="22"/>
        </w:rPr>
        <w:t xml:space="preserve">99  </w:t>
      </w:r>
      <w:r w:rsidRPr="00D31561">
        <w:rPr>
          <w:rFonts w:ascii="Trebuchet MS" w:hAnsi="Trebuchet MS"/>
          <w:sz w:val="22"/>
          <w:szCs w:val="22"/>
        </w:rPr>
        <w:t xml:space="preserve"> ISBN </w:t>
      </w:r>
      <w:r w:rsidR="009A28CE">
        <w:rPr>
          <w:rFonts w:ascii="Trebuchet MS" w:hAnsi="Trebuchet MS"/>
          <w:sz w:val="22"/>
          <w:szCs w:val="22"/>
        </w:rPr>
        <w:t>978-3-8114-</w:t>
      </w:r>
      <w:r w:rsidR="0016312D">
        <w:rPr>
          <w:rFonts w:ascii="Trebuchet MS" w:hAnsi="Trebuchet MS"/>
          <w:sz w:val="22"/>
          <w:szCs w:val="22"/>
        </w:rPr>
        <w:t>613</w:t>
      </w:r>
      <w:r w:rsidR="00E32D3C">
        <w:rPr>
          <w:rFonts w:ascii="Trebuchet MS" w:hAnsi="Trebuchet MS"/>
          <w:sz w:val="22"/>
          <w:szCs w:val="22"/>
        </w:rPr>
        <w:t>1</w:t>
      </w:r>
      <w:r w:rsidR="006B3BE9" w:rsidRPr="006B3BE9">
        <w:rPr>
          <w:rFonts w:ascii="Trebuchet MS" w:hAnsi="Trebuchet MS"/>
          <w:sz w:val="22"/>
          <w:szCs w:val="22"/>
        </w:rPr>
        <w:t>-</w:t>
      </w:r>
      <w:r w:rsidR="00E32D3C">
        <w:rPr>
          <w:rFonts w:ascii="Trebuchet MS" w:hAnsi="Trebuchet MS"/>
          <w:sz w:val="22"/>
          <w:szCs w:val="22"/>
        </w:rPr>
        <w:t>4</w:t>
      </w:r>
    </w:p>
    <w:p w:rsidR="00E141A2" w:rsidRDefault="00E141A2" w:rsidP="000F5C2F">
      <w:pPr>
        <w:tabs>
          <w:tab w:val="left" w:pos="7144"/>
          <w:tab w:val="left" w:pos="8931"/>
          <w:tab w:val="left" w:pos="9498"/>
        </w:tabs>
        <w:spacing w:line="276" w:lineRule="auto"/>
        <w:ind w:right="565"/>
        <w:rPr>
          <w:rFonts w:ascii="Trebuchet MS" w:hAnsi="Trebuchet MS"/>
          <w:sz w:val="22"/>
          <w:szCs w:val="22"/>
        </w:rPr>
      </w:pPr>
    </w:p>
    <w:p w:rsidR="004C49F4" w:rsidRDefault="008C3AEA" w:rsidP="000F5C2F">
      <w:pPr>
        <w:tabs>
          <w:tab w:val="left" w:pos="7938"/>
          <w:tab w:val="left" w:pos="8931"/>
          <w:tab w:val="left" w:pos="9498"/>
        </w:tabs>
        <w:spacing w:line="276" w:lineRule="auto"/>
        <w:ind w:right="565"/>
        <w:rPr>
          <w:rFonts w:ascii="Trebuchet MS" w:hAnsi="Trebuchet MS"/>
          <w:b/>
          <w:bCs/>
          <w:sz w:val="22"/>
          <w:szCs w:val="22"/>
        </w:rPr>
      </w:pPr>
      <w:r w:rsidRPr="006F753B">
        <w:rPr>
          <w:rFonts w:ascii="Trebuchet MS" w:hAnsi="Trebuchet MS"/>
          <w:b/>
          <w:sz w:val="22"/>
          <w:szCs w:val="22"/>
        </w:rPr>
        <w:t>C.F. Müller GmbH</w:t>
      </w:r>
      <w:r w:rsidR="00F3603B">
        <w:rPr>
          <w:rFonts w:ascii="Trebuchet MS" w:hAnsi="Trebuchet MS"/>
          <w:b/>
          <w:sz w:val="22"/>
          <w:szCs w:val="22"/>
        </w:rPr>
        <w:t xml:space="preserve">     </w:t>
      </w:r>
      <w:r w:rsidRPr="006F753B">
        <w:rPr>
          <w:rFonts w:ascii="Trebuchet MS" w:hAnsi="Trebuchet MS"/>
          <w:b/>
          <w:sz w:val="22"/>
          <w:szCs w:val="22"/>
        </w:rPr>
        <w:t xml:space="preserve">    </w:t>
      </w:r>
      <w:hyperlink r:id="rId7" w:history="1">
        <w:r w:rsidRPr="006F753B">
          <w:rPr>
            <w:rStyle w:val="Hyperlink"/>
            <w:rFonts w:ascii="Trebuchet MS" w:hAnsi="Trebuchet MS"/>
            <w:b/>
            <w:bCs/>
            <w:sz w:val="22"/>
            <w:szCs w:val="22"/>
          </w:rPr>
          <w:t>www.cfmueller.de</w:t>
        </w:r>
      </w:hyperlink>
      <w:r w:rsidR="006F753B" w:rsidRPr="006F753B">
        <w:rPr>
          <w:rFonts w:ascii="Trebuchet MS" w:hAnsi="Trebuchet MS"/>
          <w:b/>
          <w:bCs/>
          <w:sz w:val="22"/>
          <w:szCs w:val="22"/>
        </w:rPr>
        <w:t xml:space="preserve"> </w:t>
      </w:r>
    </w:p>
    <w:p w:rsidR="00C035BF" w:rsidRDefault="00C035BF">
      <w:pPr>
        <w:rPr>
          <w:rFonts w:ascii="Trebuchet MS" w:hAnsi="Trebuchet MS"/>
          <w:b/>
          <w:bCs/>
          <w:sz w:val="22"/>
          <w:szCs w:val="22"/>
        </w:rPr>
      </w:pPr>
    </w:p>
    <w:sectPr w:rsidR="00C035BF" w:rsidSect="006778FE">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5"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606EE3"/>
    <w:multiLevelType w:val="hybridMultilevel"/>
    <w:tmpl w:val="F372DD9E"/>
    <w:lvl w:ilvl="0" w:tplc="E33ADE5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D4167"/>
    <w:multiLevelType w:val="hybridMultilevel"/>
    <w:tmpl w:val="C14646CA"/>
    <w:lvl w:ilvl="0" w:tplc="1724242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9C776A"/>
    <w:multiLevelType w:val="hybridMultilevel"/>
    <w:tmpl w:val="BC6E4D54"/>
    <w:lvl w:ilvl="0" w:tplc="4C4A122E">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557C0"/>
    <w:multiLevelType w:val="hybridMultilevel"/>
    <w:tmpl w:val="96C0D894"/>
    <w:lvl w:ilvl="0" w:tplc="10BC7616">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40"/>
  </w:num>
  <w:num w:numId="4">
    <w:abstractNumId w:val="18"/>
  </w:num>
  <w:num w:numId="5">
    <w:abstractNumId w:val="1"/>
  </w:num>
  <w:num w:numId="6">
    <w:abstractNumId w:val="28"/>
  </w:num>
  <w:num w:numId="7">
    <w:abstractNumId w:val="8"/>
  </w:num>
  <w:num w:numId="8">
    <w:abstractNumId w:val="26"/>
  </w:num>
  <w:num w:numId="9">
    <w:abstractNumId w:val="0"/>
  </w:num>
  <w:num w:numId="10">
    <w:abstractNumId w:val="11"/>
  </w:num>
  <w:num w:numId="11">
    <w:abstractNumId w:val="41"/>
  </w:num>
  <w:num w:numId="12">
    <w:abstractNumId w:val="34"/>
  </w:num>
  <w:num w:numId="13">
    <w:abstractNumId w:val="13"/>
  </w:num>
  <w:num w:numId="14">
    <w:abstractNumId w:val="21"/>
  </w:num>
  <w:num w:numId="15">
    <w:abstractNumId w:val="30"/>
  </w:num>
  <w:num w:numId="16">
    <w:abstractNumId w:val="24"/>
  </w:num>
  <w:num w:numId="17">
    <w:abstractNumId w:val="37"/>
  </w:num>
  <w:num w:numId="18">
    <w:abstractNumId w:val="25"/>
  </w:num>
  <w:num w:numId="19">
    <w:abstractNumId w:val="23"/>
  </w:num>
  <w:num w:numId="20">
    <w:abstractNumId w:val="29"/>
  </w:num>
  <w:num w:numId="21">
    <w:abstractNumId w:val="27"/>
  </w:num>
  <w:num w:numId="22">
    <w:abstractNumId w:val="4"/>
  </w:num>
  <w:num w:numId="23">
    <w:abstractNumId w:val="12"/>
  </w:num>
  <w:num w:numId="24">
    <w:abstractNumId w:val="39"/>
  </w:num>
  <w:num w:numId="25">
    <w:abstractNumId w:val="14"/>
  </w:num>
  <w:num w:numId="26">
    <w:abstractNumId w:val="15"/>
  </w:num>
  <w:num w:numId="27">
    <w:abstractNumId w:val="36"/>
  </w:num>
  <w:num w:numId="28">
    <w:abstractNumId w:val="3"/>
  </w:num>
  <w:num w:numId="29">
    <w:abstractNumId w:val="22"/>
  </w:num>
  <w:num w:numId="30">
    <w:abstractNumId w:val="32"/>
  </w:num>
  <w:num w:numId="31">
    <w:abstractNumId w:val="19"/>
  </w:num>
  <w:num w:numId="32">
    <w:abstractNumId w:val="2"/>
  </w:num>
  <w:num w:numId="33">
    <w:abstractNumId w:val="10"/>
  </w:num>
  <w:num w:numId="34">
    <w:abstractNumId w:val="9"/>
  </w:num>
  <w:num w:numId="35">
    <w:abstractNumId w:val="6"/>
  </w:num>
  <w:num w:numId="36">
    <w:abstractNumId w:val="35"/>
  </w:num>
  <w:num w:numId="37">
    <w:abstractNumId w:val="5"/>
  </w:num>
  <w:num w:numId="38">
    <w:abstractNumId w:val="31"/>
  </w:num>
  <w:num w:numId="39">
    <w:abstractNumId w:val="20"/>
  </w:num>
  <w:num w:numId="40">
    <w:abstractNumId w:val="33"/>
  </w:num>
  <w:num w:numId="41">
    <w:abstractNumId w:val="3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8174E"/>
    <w:rsid w:val="00094132"/>
    <w:rsid w:val="00095506"/>
    <w:rsid w:val="000A16EC"/>
    <w:rsid w:val="000A2E80"/>
    <w:rsid w:val="000B37DD"/>
    <w:rsid w:val="000B4AFE"/>
    <w:rsid w:val="000C089A"/>
    <w:rsid w:val="000C0F48"/>
    <w:rsid w:val="000C33B5"/>
    <w:rsid w:val="000C3E6A"/>
    <w:rsid w:val="000E5195"/>
    <w:rsid w:val="000F2B93"/>
    <w:rsid w:val="000F32BB"/>
    <w:rsid w:val="000F53A5"/>
    <w:rsid w:val="000F5C2F"/>
    <w:rsid w:val="000F6A42"/>
    <w:rsid w:val="0010459F"/>
    <w:rsid w:val="00104A20"/>
    <w:rsid w:val="00107F00"/>
    <w:rsid w:val="00136C23"/>
    <w:rsid w:val="00144B5C"/>
    <w:rsid w:val="0016312D"/>
    <w:rsid w:val="001766F6"/>
    <w:rsid w:val="001801D4"/>
    <w:rsid w:val="001829EC"/>
    <w:rsid w:val="001837D4"/>
    <w:rsid w:val="00183E17"/>
    <w:rsid w:val="001D24FB"/>
    <w:rsid w:val="001F0BB3"/>
    <w:rsid w:val="001F4FF9"/>
    <w:rsid w:val="0020261F"/>
    <w:rsid w:val="00206E25"/>
    <w:rsid w:val="0022015F"/>
    <w:rsid w:val="00222246"/>
    <w:rsid w:val="002265AE"/>
    <w:rsid w:val="00231B64"/>
    <w:rsid w:val="00237EDE"/>
    <w:rsid w:val="002557B9"/>
    <w:rsid w:val="00261623"/>
    <w:rsid w:val="00261A1C"/>
    <w:rsid w:val="00261D62"/>
    <w:rsid w:val="002661CE"/>
    <w:rsid w:val="002824FC"/>
    <w:rsid w:val="00287874"/>
    <w:rsid w:val="00292681"/>
    <w:rsid w:val="00296453"/>
    <w:rsid w:val="002A000F"/>
    <w:rsid w:val="002A2C8B"/>
    <w:rsid w:val="002A6A37"/>
    <w:rsid w:val="002B3B1C"/>
    <w:rsid w:val="002C0F1B"/>
    <w:rsid w:val="002D11FE"/>
    <w:rsid w:val="002D2328"/>
    <w:rsid w:val="002D4306"/>
    <w:rsid w:val="002D547E"/>
    <w:rsid w:val="002E04B1"/>
    <w:rsid w:val="002E23BF"/>
    <w:rsid w:val="002E3450"/>
    <w:rsid w:val="002E7FEA"/>
    <w:rsid w:val="002F6269"/>
    <w:rsid w:val="003071BA"/>
    <w:rsid w:val="00312161"/>
    <w:rsid w:val="00315D76"/>
    <w:rsid w:val="0031769A"/>
    <w:rsid w:val="003225C1"/>
    <w:rsid w:val="00323673"/>
    <w:rsid w:val="003242A6"/>
    <w:rsid w:val="00333946"/>
    <w:rsid w:val="00337331"/>
    <w:rsid w:val="00352174"/>
    <w:rsid w:val="003608B4"/>
    <w:rsid w:val="003648FF"/>
    <w:rsid w:val="00367B51"/>
    <w:rsid w:val="003709F1"/>
    <w:rsid w:val="003734F1"/>
    <w:rsid w:val="003842FB"/>
    <w:rsid w:val="00384A34"/>
    <w:rsid w:val="003852A5"/>
    <w:rsid w:val="00392A08"/>
    <w:rsid w:val="00393CDF"/>
    <w:rsid w:val="0039422C"/>
    <w:rsid w:val="00395C3B"/>
    <w:rsid w:val="00395D1B"/>
    <w:rsid w:val="003A0C9A"/>
    <w:rsid w:val="003A12DC"/>
    <w:rsid w:val="003A67F8"/>
    <w:rsid w:val="003A7564"/>
    <w:rsid w:val="003B0972"/>
    <w:rsid w:val="003B2442"/>
    <w:rsid w:val="003C7255"/>
    <w:rsid w:val="003D15AA"/>
    <w:rsid w:val="003D7C34"/>
    <w:rsid w:val="003E119A"/>
    <w:rsid w:val="003E1583"/>
    <w:rsid w:val="003E3833"/>
    <w:rsid w:val="003E63F2"/>
    <w:rsid w:val="003E69CB"/>
    <w:rsid w:val="003E7E29"/>
    <w:rsid w:val="004006FA"/>
    <w:rsid w:val="00411825"/>
    <w:rsid w:val="004169DF"/>
    <w:rsid w:val="00420F2F"/>
    <w:rsid w:val="00423214"/>
    <w:rsid w:val="00425E81"/>
    <w:rsid w:val="004356CB"/>
    <w:rsid w:val="00442A75"/>
    <w:rsid w:val="00447D8E"/>
    <w:rsid w:val="004567A8"/>
    <w:rsid w:val="0045739B"/>
    <w:rsid w:val="004631A5"/>
    <w:rsid w:val="004634D4"/>
    <w:rsid w:val="0047458E"/>
    <w:rsid w:val="00475105"/>
    <w:rsid w:val="00486847"/>
    <w:rsid w:val="00490582"/>
    <w:rsid w:val="004959D9"/>
    <w:rsid w:val="00497A71"/>
    <w:rsid w:val="004A71D1"/>
    <w:rsid w:val="004B3C28"/>
    <w:rsid w:val="004C49F4"/>
    <w:rsid w:val="004D4EC4"/>
    <w:rsid w:val="004D7724"/>
    <w:rsid w:val="004F306D"/>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72C77"/>
    <w:rsid w:val="0058078F"/>
    <w:rsid w:val="00581ABA"/>
    <w:rsid w:val="00582B03"/>
    <w:rsid w:val="005868DF"/>
    <w:rsid w:val="005870F7"/>
    <w:rsid w:val="005B5EF6"/>
    <w:rsid w:val="005B6493"/>
    <w:rsid w:val="005C331F"/>
    <w:rsid w:val="005C488B"/>
    <w:rsid w:val="005D0A59"/>
    <w:rsid w:val="005D4AE4"/>
    <w:rsid w:val="005E1BBA"/>
    <w:rsid w:val="005F0CC3"/>
    <w:rsid w:val="005F4AAE"/>
    <w:rsid w:val="00600503"/>
    <w:rsid w:val="00600A5E"/>
    <w:rsid w:val="0061654B"/>
    <w:rsid w:val="006205E9"/>
    <w:rsid w:val="006264A1"/>
    <w:rsid w:val="006450C6"/>
    <w:rsid w:val="00652387"/>
    <w:rsid w:val="00657C2D"/>
    <w:rsid w:val="00657D35"/>
    <w:rsid w:val="00661B82"/>
    <w:rsid w:val="00667CC2"/>
    <w:rsid w:val="0067062B"/>
    <w:rsid w:val="00673D41"/>
    <w:rsid w:val="00674EBA"/>
    <w:rsid w:val="006759AF"/>
    <w:rsid w:val="00675E0C"/>
    <w:rsid w:val="006778FE"/>
    <w:rsid w:val="006812EE"/>
    <w:rsid w:val="00683D88"/>
    <w:rsid w:val="006847F1"/>
    <w:rsid w:val="00691974"/>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3BCB"/>
    <w:rsid w:val="0072418C"/>
    <w:rsid w:val="00736406"/>
    <w:rsid w:val="00741B7E"/>
    <w:rsid w:val="007435A8"/>
    <w:rsid w:val="007509A3"/>
    <w:rsid w:val="007556B8"/>
    <w:rsid w:val="00755924"/>
    <w:rsid w:val="00756DDE"/>
    <w:rsid w:val="00757E68"/>
    <w:rsid w:val="00760F81"/>
    <w:rsid w:val="0076172E"/>
    <w:rsid w:val="00771190"/>
    <w:rsid w:val="00771A68"/>
    <w:rsid w:val="00773FC3"/>
    <w:rsid w:val="00776164"/>
    <w:rsid w:val="007807EC"/>
    <w:rsid w:val="007832A7"/>
    <w:rsid w:val="0078360A"/>
    <w:rsid w:val="00784EAE"/>
    <w:rsid w:val="00793781"/>
    <w:rsid w:val="00796C0A"/>
    <w:rsid w:val="00796FC8"/>
    <w:rsid w:val="007A3336"/>
    <w:rsid w:val="007A7125"/>
    <w:rsid w:val="007C3BCA"/>
    <w:rsid w:val="007C5E00"/>
    <w:rsid w:val="007D5955"/>
    <w:rsid w:val="007D5EEB"/>
    <w:rsid w:val="007D7D27"/>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C3AEA"/>
    <w:rsid w:val="008C69E0"/>
    <w:rsid w:val="008E0F47"/>
    <w:rsid w:val="008E78DD"/>
    <w:rsid w:val="008F172B"/>
    <w:rsid w:val="008F2BFE"/>
    <w:rsid w:val="008F6EA3"/>
    <w:rsid w:val="00900F12"/>
    <w:rsid w:val="00902074"/>
    <w:rsid w:val="00902FF8"/>
    <w:rsid w:val="00903868"/>
    <w:rsid w:val="00907607"/>
    <w:rsid w:val="00910B74"/>
    <w:rsid w:val="00931AD3"/>
    <w:rsid w:val="009370B4"/>
    <w:rsid w:val="00961CED"/>
    <w:rsid w:val="0096473F"/>
    <w:rsid w:val="00965F9B"/>
    <w:rsid w:val="00985A88"/>
    <w:rsid w:val="009879A8"/>
    <w:rsid w:val="00993E57"/>
    <w:rsid w:val="009A0F53"/>
    <w:rsid w:val="009A28CE"/>
    <w:rsid w:val="009C66B6"/>
    <w:rsid w:val="009E16DB"/>
    <w:rsid w:val="00A00F57"/>
    <w:rsid w:val="00A06868"/>
    <w:rsid w:val="00A075AB"/>
    <w:rsid w:val="00A07F44"/>
    <w:rsid w:val="00A12221"/>
    <w:rsid w:val="00A13DE2"/>
    <w:rsid w:val="00A2222C"/>
    <w:rsid w:val="00A24F74"/>
    <w:rsid w:val="00A44C19"/>
    <w:rsid w:val="00A47B57"/>
    <w:rsid w:val="00A540D1"/>
    <w:rsid w:val="00A57D4E"/>
    <w:rsid w:val="00A71584"/>
    <w:rsid w:val="00A7180C"/>
    <w:rsid w:val="00A840AC"/>
    <w:rsid w:val="00A903D6"/>
    <w:rsid w:val="00A94482"/>
    <w:rsid w:val="00AA2824"/>
    <w:rsid w:val="00AA2AFB"/>
    <w:rsid w:val="00AA349C"/>
    <w:rsid w:val="00AB15A8"/>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11A6F"/>
    <w:rsid w:val="00B14FC4"/>
    <w:rsid w:val="00B24042"/>
    <w:rsid w:val="00B24777"/>
    <w:rsid w:val="00B32D52"/>
    <w:rsid w:val="00B33E66"/>
    <w:rsid w:val="00B37F7C"/>
    <w:rsid w:val="00B43D56"/>
    <w:rsid w:val="00B50D60"/>
    <w:rsid w:val="00B51C4D"/>
    <w:rsid w:val="00B51C52"/>
    <w:rsid w:val="00B6405D"/>
    <w:rsid w:val="00B73B84"/>
    <w:rsid w:val="00B758B8"/>
    <w:rsid w:val="00B81C94"/>
    <w:rsid w:val="00B84592"/>
    <w:rsid w:val="00B84893"/>
    <w:rsid w:val="00B907B7"/>
    <w:rsid w:val="00B924FC"/>
    <w:rsid w:val="00BA1787"/>
    <w:rsid w:val="00BA3BD3"/>
    <w:rsid w:val="00BA63E2"/>
    <w:rsid w:val="00BA769E"/>
    <w:rsid w:val="00BB74E2"/>
    <w:rsid w:val="00BC301A"/>
    <w:rsid w:val="00BC40EA"/>
    <w:rsid w:val="00BC4F53"/>
    <w:rsid w:val="00BC5958"/>
    <w:rsid w:val="00BD4663"/>
    <w:rsid w:val="00BE0D8A"/>
    <w:rsid w:val="00BE1656"/>
    <w:rsid w:val="00BE4833"/>
    <w:rsid w:val="00BE6EB2"/>
    <w:rsid w:val="00BF1957"/>
    <w:rsid w:val="00BF7536"/>
    <w:rsid w:val="00C035BF"/>
    <w:rsid w:val="00C04640"/>
    <w:rsid w:val="00C05BBC"/>
    <w:rsid w:val="00C07B56"/>
    <w:rsid w:val="00C11062"/>
    <w:rsid w:val="00C11F68"/>
    <w:rsid w:val="00C17B7C"/>
    <w:rsid w:val="00C25F9D"/>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F0F8E"/>
    <w:rsid w:val="00CF5F7D"/>
    <w:rsid w:val="00CF63D9"/>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41A2"/>
    <w:rsid w:val="00E16710"/>
    <w:rsid w:val="00E2237A"/>
    <w:rsid w:val="00E223B2"/>
    <w:rsid w:val="00E32D3C"/>
    <w:rsid w:val="00E36BCD"/>
    <w:rsid w:val="00E376B0"/>
    <w:rsid w:val="00E4219C"/>
    <w:rsid w:val="00E424DC"/>
    <w:rsid w:val="00E579F5"/>
    <w:rsid w:val="00E60B90"/>
    <w:rsid w:val="00E64841"/>
    <w:rsid w:val="00E666CA"/>
    <w:rsid w:val="00E73320"/>
    <w:rsid w:val="00E74CD8"/>
    <w:rsid w:val="00E772C5"/>
    <w:rsid w:val="00E84133"/>
    <w:rsid w:val="00E8760C"/>
    <w:rsid w:val="00E94F0A"/>
    <w:rsid w:val="00E96367"/>
    <w:rsid w:val="00EA00C1"/>
    <w:rsid w:val="00EA763E"/>
    <w:rsid w:val="00ED601D"/>
    <w:rsid w:val="00ED68C0"/>
    <w:rsid w:val="00ED6E2D"/>
    <w:rsid w:val="00EE2D05"/>
    <w:rsid w:val="00EF72E6"/>
    <w:rsid w:val="00EF7C49"/>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587F"/>
    <w:rsid w:val="00F46AC7"/>
    <w:rsid w:val="00F47D72"/>
    <w:rsid w:val="00F548FB"/>
    <w:rsid w:val="00F63865"/>
    <w:rsid w:val="00F67CE6"/>
    <w:rsid w:val="00F751C4"/>
    <w:rsid w:val="00F77EA7"/>
    <w:rsid w:val="00F8088D"/>
    <w:rsid w:val="00F848CA"/>
    <w:rsid w:val="00F8634A"/>
    <w:rsid w:val="00FA6996"/>
    <w:rsid w:val="00FD4DC5"/>
    <w:rsid w:val="00FD6E6B"/>
    <w:rsid w:val="00FD7321"/>
    <w:rsid w:val="00FE0C37"/>
    <w:rsid w:val="00FE17AC"/>
    <w:rsid w:val="00FE73EF"/>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paragraph" w:styleId="berschrift6">
    <w:name w:val="heading 6"/>
    <w:basedOn w:val="Standard"/>
    <w:next w:val="Standard"/>
    <w:link w:val="berschrift6Zchn"/>
    <w:uiPriority w:val="9"/>
    <w:unhideWhenUsed/>
    <w:qFormat/>
    <w:rsid w:val="0008174E"/>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 w:type="character" w:customStyle="1" w:styleId="berschrift6Zchn">
    <w:name w:val="Überschrift 6 Zchn"/>
    <w:basedOn w:val="Absatz-Standardschriftart"/>
    <w:link w:val="berschrift6"/>
    <w:uiPriority w:val="9"/>
    <w:rsid w:val="0008174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68895935">
      <w:bodyDiv w:val="1"/>
      <w:marLeft w:val="0"/>
      <w:marRight w:val="0"/>
      <w:marTop w:val="0"/>
      <w:marBottom w:val="0"/>
      <w:divBdr>
        <w:top w:val="none" w:sz="0" w:space="0" w:color="auto"/>
        <w:left w:val="none" w:sz="0" w:space="0" w:color="auto"/>
        <w:bottom w:val="none" w:sz="0" w:space="0" w:color="auto"/>
        <w:right w:val="none" w:sz="0" w:space="0" w:color="auto"/>
      </w:divBdr>
      <w:divsChild>
        <w:div w:id="1513760788">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85816646">
      <w:bodyDiv w:val="1"/>
      <w:marLeft w:val="0"/>
      <w:marRight w:val="0"/>
      <w:marTop w:val="0"/>
      <w:marBottom w:val="0"/>
      <w:divBdr>
        <w:top w:val="none" w:sz="0" w:space="0" w:color="auto"/>
        <w:left w:val="none" w:sz="0" w:space="0" w:color="auto"/>
        <w:bottom w:val="none" w:sz="0" w:space="0" w:color="auto"/>
        <w:right w:val="none" w:sz="0" w:space="0" w:color="auto"/>
      </w:divBdr>
    </w:div>
    <w:div w:id="1293487696">
      <w:bodyDiv w:val="1"/>
      <w:marLeft w:val="0"/>
      <w:marRight w:val="0"/>
      <w:marTop w:val="0"/>
      <w:marBottom w:val="0"/>
      <w:divBdr>
        <w:top w:val="none" w:sz="0" w:space="0" w:color="auto"/>
        <w:left w:val="none" w:sz="0" w:space="0" w:color="auto"/>
        <w:bottom w:val="none" w:sz="0" w:space="0" w:color="auto"/>
        <w:right w:val="none" w:sz="0" w:space="0" w:color="auto"/>
      </w:divBdr>
      <w:divsChild>
        <w:div w:id="1710493826">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86220498">
      <w:bodyDiv w:val="1"/>
      <w:marLeft w:val="0"/>
      <w:marRight w:val="0"/>
      <w:marTop w:val="0"/>
      <w:marBottom w:val="0"/>
      <w:divBdr>
        <w:top w:val="none" w:sz="0" w:space="0" w:color="auto"/>
        <w:left w:val="none" w:sz="0" w:space="0" w:color="auto"/>
        <w:bottom w:val="none" w:sz="0" w:space="0" w:color="auto"/>
        <w:right w:val="none" w:sz="0" w:space="0" w:color="auto"/>
      </w:divBdr>
      <w:divsChild>
        <w:div w:id="43873337">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2225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2514</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Schaaf, Michael</cp:lastModifiedBy>
  <cp:revision>2</cp:revision>
  <cp:lastPrinted>2022-09-19T12:19:00Z</cp:lastPrinted>
  <dcterms:created xsi:type="dcterms:W3CDTF">2024-10-22T13:35:00Z</dcterms:created>
  <dcterms:modified xsi:type="dcterms:W3CDTF">2024-10-22T13:35:00Z</dcterms:modified>
</cp:coreProperties>
</file>