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E75DD9" w:rsidRDefault="00B73B84" w:rsidP="00933F30">
      <w:pPr>
        <w:pStyle w:val="Kopfzeile"/>
        <w:tabs>
          <w:tab w:val="clear" w:pos="4536"/>
          <w:tab w:val="clear" w:pos="9072"/>
        </w:tabs>
        <w:spacing w:line="276" w:lineRule="auto"/>
        <w:ind w:right="565"/>
        <w:rPr>
          <w:rFonts w:ascii="Trebuchet MS" w:hAnsi="Trebuchet MS" w:cs="Calibri"/>
          <w:sz w:val="22"/>
          <w:szCs w:val="22"/>
        </w:rPr>
      </w:pPr>
      <w:r w:rsidRPr="00E75DD9">
        <w:rPr>
          <w:rFonts w:ascii="Trebuchet MS" w:hAnsi="Trebuchet MS" w:cs="Calibri"/>
          <w:sz w:val="22"/>
          <w:szCs w:val="22"/>
        </w:rPr>
        <w:t xml:space="preserve">Neuerscheinung bei </w:t>
      </w:r>
    </w:p>
    <w:p w:rsidR="00DA65D5" w:rsidRPr="00E75DD9" w:rsidRDefault="00B73B84" w:rsidP="00933F30">
      <w:pPr>
        <w:pStyle w:val="Kopfzeile"/>
        <w:tabs>
          <w:tab w:val="clear" w:pos="4536"/>
          <w:tab w:val="clear" w:pos="9072"/>
          <w:tab w:val="left" w:pos="7797"/>
        </w:tabs>
        <w:spacing w:line="276" w:lineRule="auto"/>
        <w:ind w:right="565"/>
        <w:rPr>
          <w:rFonts w:ascii="Trebuchet MS" w:hAnsi="Trebuchet MS" w:cs="Calibri"/>
          <w:b/>
          <w:bCs/>
          <w:sz w:val="22"/>
          <w:szCs w:val="22"/>
        </w:rPr>
      </w:pPr>
      <w:r w:rsidRPr="00E75DD9">
        <w:rPr>
          <w:rFonts w:ascii="Trebuchet MS" w:hAnsi="Trebuchet MS" w:cs="Calibri"/>
          <w:b/>
          <w:bCs/>
          <w:sz w:val="22"/>
          <w:szCs w:val="22"/>
        </w:rPr>
        <w:t>C.F. Müller</w:t>
      </w:r>
    </w:p>
    <w:p w:rsidR="008E7E90" w:rsidRPr="00E75DD9" w:rsidRDefault="008E7E90" w:rsidP="00933F30">
      <w:pPr>
        <w:pStyle w:val="Kopfzeile"/>
        <w:tabs>
          <w:tab w:val="clear" w:pos="4536"/>
          <w:tab w:val="clear" w:pos="9072"/>
          <w:tab w:val="left" w:pos="7797"/>
        </w:tabs>
        <w:spacing w:line="276" w:lineRule="auto"/>
        <w:ind w:right="565"/>
        <w:rPr>
          <w:rFonts w:ascii="Trebuchet MS" w:hAnsi="Trebuchet MS" w:cs="Calibri"/>
          <w:b/>
          <w:bCs/>
          <w:sz w:val="22"/>
          <w:szCs w:val="22"/>
        </w:rPr>
      </w:pPr>
    </w:p>
    <w:p w:rsidR="00B73B84" w:rsidRPr="00E75DD9" w:rsidRDefault="00B73B84" w:rsidP="00933F30">
      <w:pPr>
        <w:pStyle w:val="Kopfzeile"/>
        <w:tabs>
          <w:tab w:val="clear" w:pos="4536"/>
          <w:tab w:val="clear" w:pos="9072"/>
          <w:tab w:val="left" w:pos="7797"/>
        </w:tabs>
        <w:spacing w:line="276" w:lineRule="auto"/>
        <w:ind w:right="565"/>
        <w:rPr>
          <w:rFonts w:ascii="Trebuchet MS" w:hAnsi="Trebuchet MS" w:cs="Calibri"/>
          <w:bCs/>
          <w:sz w:val="22"/>
          <w:szCs w:val="22"/>
        </w:rPr>
      </w:pPr>
      <w:r w:rsidRPr="00E75DD9">
        <w:rPr>
          <w:rFonts w:ascii="Trebuchet MS" w:hAnsi="Trebuchet MS" w:cs="Calibri"/>
          <w:b/>
          <w:bCs/>
          <w:sz w:val="22"/>
          <w:szCs w:val="22"/>
        </w:rPr>
        <w:tab/>
      </w:r>
      <w:r w:rsidRPr="00E75DD9">
        <w:rPr>
          <w:rFonts w:ascii="Trebuchet MS" w:hAnsi="Trebuchet MS" w:cs="Calibri"/>
          <w:sz w:val="22"/>
          <w:szCs w:val="22"/>
        </w:rPr>
        <w:t>Heidelberg,</w:t>
      </w:r>
    </w:p>
    <w:p w:rsidR="00B73B84" w:rsidRPr="00E75DD9" w:rsidRDefault="00B73B84" w:rsidP="00933F30">
      <w:pPr>
        <w:pStyle w:val="Kopfzeile"/>
        <w:tabs>
          <w:tab w:val="clear" w:pos="4536"/>
          <w:tab w:val="clear" w:pos="9072"/>
          <w:tab w:val="left" w:pos="7200"/>
        </w:tabs>
        <w:spacing w:line="276" w:lineRule="auto"/>
        <w:ind w:right="565"/>
        <w:rPr>
          <w:rFonts w:ascii="Trebuchet MS" w:hAnsi="Trebuchet MS" w:cs="Calibri"/>
          <w:sz w:val="22"/>
          <w:szCs w:val="22"/>
        </w:rPr>
      </w:pPr>
      <w:r w:rsidRPr="00E75DD9">
        <w:rPr>
          <w:rFonts w:ascii="Trebuchet MS" w:hAnsi="Trebuchet MS" w:cs="Calibri"/>
          <w:sz w:val="22"/>
          <w:szCs w:val="22"/>
        </w:rPr>
        <w:tab/>
      </w:r>
      <w:r w:rsidRPr="00E75DD9">
        <w:rPr>
          <w:rFonts w:ascii="Trebuchet MS" w:hAnsi="Trebuchet MS" w:cs="Calibri"/>
          <w:sz w:val="22"/>
          <w:szCs w:val="22"/>
        </w:rPr>
        <w:tab/>
        <w:t xml:space="preserve">im </w:t>
      </w:r>
      <w:r w:rsidR="00D92DF1">
        <w:rPr>
          <w:rFonts w:ascii="Trebuchet MS" w:hAnsi="Trebuchet MS" w:cs="Calibri"/>
          <w:sz w:val="22"/>
          <w:szCs w:val="22"/>
        </w:rPr>
        <w:t>Mai</w:t>
      </w:r>
      <w:r w:rsidR="0047259C">
        <w:rPr>
          <w:rFonts w:ascii="Trebuchet MS" w:hAnsi="Trebuchet MS" w:cs="Calibri"/>
          <w:sz w:val="22"/>
          <w:szCs w:val="22"/>
        </w:rPr>
        <w:t xml:space="preserve"> 202</w:t>
      </w:r>
      <w:r w:rsidR="00C72CDD">
        <w:rPr>
          <w:rFonts w:ascii="Trebuchet MS" w:hAnsi="Trebuchet MS" w:cs="Calibri"/>
          <w:sz w:val="22"/>
          <w:szCs w:val="22"/>
        </w:rPr>
        <w:t>4</w:t>
      </w:r>
    </w:p>
    <w:p w:rsidR="006C18F7" w:rsidRDefault="006C18F7" w:rsidP="00933F30">
      <w:pPr>
        <w:tabs>
          <w:tab w:val="left" w:pos="7144"/>
        </w:tabs>
        <w:spacing w:line="276" w:lineRule="auto"/>
        <w:ind w:right="565"/>
        <w:rPr>
          <w:rFonts w:ascii="Trebuchet MS" w:hAnsi="Trebuchet MS" w:cs="Calibri"/>
          <w:b/>
          <w:sz w:val="28"/>
          <w:szCs w:val="28"/>
        </w:rPr>
      </w:pPr>
    </w:p>
    <w:p w:rsidR="006A1E93" w:rsidRPr="00E75DD9" w:rsidRDefault="00D92DF1" w:rsidP="00933F30">
      <w:pPr>
        <w:tabs>
          <w:tab w:val="left" w:pos="7144"/>
        </w:tabs>
        <w:spacing w:line="276" w:lineRule="auto"/>
        <w:ind w:right="565"/>
        <w:rPr>
          <w:rFonts w:ascii="Trebuchet MS" w:hAnsi="Trebuchet MS" w:cs="Calibri"/>
          <w:b/>
          <w:sz w:val="28"/>
          <w:szCs w:val="28"/>
        </w:rPr>
      </w:pPr>
      <w:bookmarkStart w:id="0" w:name="_GoBack"/>
      <w:bookmarkEnd w:id="0"/>
      <w:proofErr w:type="spellStart"/>
      <w:r>
        <w:rPr>
          <w:rFonts w:ascii="Trebuchet MS" w:hAnsi="Trebuchet MS" w:cs="Calibri"/>
          <w:b/>
          <w:sz w:val="28"/>
          <w:szCs w:val="28"/>
        </w:rPr>
        <w:t>Doneleit</w:t>
      </w:r>
      <w:proofErr w:type="spellEnd"/>
    </w:p>
    <w:p w:rsidR="00EC448A" w:rsidRPr="00E75DD9" w:rsidRDefault="008F1BD0" w:rsidP="00933F30">
      <w:pPr>
        <w:pStyle w:val="berschrift1"/>
        <w:spacing w:line="276" w:lineRule="auto"/>
        <w:ind w:right="565"/>
        <w:rPr>
          <w:rFonts w:ascii="Trebuchet MS" w:hAnsi="Trebuchet MS"/>
          <w:sz w:val="28"/>
          <w:szCs w:val="28"/>
        </w:rPr>
      </w:pPr>
      <w:r>
        <w:rPr>
          <w:rFonts w:ascii="Trebuchet MS" w:hAnsi="Trebuchet MS"/>
          <w:sz w:val="28"/>
          <w:szCs w:val="28"/>
        </w:rPr>
        <w:t>D</w:t>
      </w:r>
      <w:r w:rsidR="00D92DF1">
        <w:rPr>
          <w:rFonts w:ascii="Trebuchet MS" w:hAnsi="Trebuchet MS"/>
          <w:sz w:val="28"/>
          <w:szCs w:val="28"/>
        </w:rPr>
        <w:t>ie Strafbarkeit von Whistleblowing im öffentlichen Dienst</w:t>
      </w:r>
    </w:p>
    <w:p w:rsidR="00902074" w:rsidRPr="008F1BD0" w:rsidRDefault="00902074" w:rsidP="00933F30">
      <w:pPr>
        <w:tabs>
          <w:tab w:val="left" w:pos="7144"/>
        </w:tabs>
        <w:spacing w:line="276" w:lineRule="auto"/>
        <w:ind w:right="565"/>
        <w:rPr>
          <w:rFonts w:ascii="Trebuchet MS" w:hAnsi="Trebuchet MS"/>
          <w:sz w:val="28"/>
          <w:szCs w:val="28"/>
        </w:rPr>
      </w:pPr>
    </w:p>
    <w:p w:rsidR="00933F30" w:rsidRPr="00933F30" w:rsidRDefault="00933F30" w:rsidP="00933F30">
      <w:pPr>
        <w:pStyle w:val="StandardWeb"/>
        <w:spacing w:before="0" w:beforeAutospacing="0" w:after="0" w:afterAutospacing="0" w:line="276" w:lineRule="auto"/>
        <w:ind w:right="565"/>
        <w:rPr>
          <w:rFonts w:ascii="Trebuchet MS" w:hAnsi="Trebuchet MS"/>
          <w:sz w:val="22"/>
          <w:szCs w:val="22"/>
        </w:rPr>
      </w:pPr>
      <w:r w:rsidRPr="00933F30">
        <w:rPr>
          <w:rFonts w:ascii="Trebuchet MS" w:hAnsi="Trebuchet MS"/>
          <w:sz w:val="22"/>
          <w:szCs w:val="22"/>
        </w:rPr>
        <w:t>In den vergangenen Jahren hat die gesellschaftliche und rechtspolitische Debatte rund um das Thema Whistleblowing weiter an Fahrt aufgenommen. Dies war bedingt durch die Whistleblowing-Richtlinie der Europäischen Union von 2019 und das darauf basierende Hinweisgeberschutzgesetz. Hierdurch trat erstmals im nationalen Recht ein einheitliches Schutzgesetz zugunsten von Whistleblowern in Kraft.</w:t>
      </w:r>
    </w:p>
    <w:p w:rsidR="00933F30" w:rsidRPr="00933F30" w:rsidRDefault="00933F30" w:rsidP="00933F30">
      <w:pPr>
        <w:pStyle w:val="StandardWeb"/>
        <w:spacing w:before="0" w:beforeAutospacing="0" w:after="0" w:afterAutospacing="0" w:line="276" w:lineRule="auto"/>
        <w:ind w:right="565"/>
        <w:rPr>
          <w:rFonts w:ascii="Trebuchet MS" w:hAnsi="Trebuchet MS"/>
          <w:sz w:val="22"/>
          <w:szCs w:val="22"/>
        </w:rPr>
      </w:pPr>
    </w:p>
    <w:p w:rsidR="00933F30" w:rsidRPr="00933F30" w:rsidRDefault="00933F30" w:rsidP="00933F30">
      <w:pPr>
        <w:pStyle w:val="StandardWeb"/>
        <w:spacing w:before="0" w:beforeAutospacing="0" w:after="0" w:afterAutospacing="0" w:line="276" w:lineRule="auto"/>
        <w:ind w:right="565"/>
        <w:rPr>
          <w:rFonts w:ascii="Trebuchet MS" w:hAnsi="Trebuchet MS"/>
          <w:sz w:val="22"/>
          <w:szCs w:val="22"/>
        </w:rPr>
      </w:pPr>
      <w:r w:rsidRPr="00933F30">
        <w:rPr>
          <w:rFonts w:ascii="Trebuchet MS" w:hAnsi="Trebuchet MS"/>
          <w:sz w:val="22"/>
          <w:szCs w:val="22"/>
        </w:rPr>
        <w:t>Gerade die Strafbarkeitsrisiken im öffentlichen Dienst waren bisher im Vergleich zu denen in der Privatwirtschaft nicht vollständig aufgearbeitet worden. In der Arbeit wird der bisherige Forschungsstand unter Bezugnahme auf die Auswirkungen des nationalen Hinweisgeberschutzgesetzes erörtert. Auch weitere grundlegende Fragen, wie beispielsweise zur Reichweite von privilegierungswürdigen Inhalten und zur Person des Whistleblowers, werden unter Berücksichtigung der Besonderheiten des öffentlichen Diensts beantwortet.</w:t>
      </w:r>
    </w:p>
    <w:p w:rsidR="0032009E" w:rsidRDefault="0032009E" w:rsidP="00933F30">
      <w:pPr>
        <w:pStyle w:val="StandardWeb"/>
        <w:spacing w:before="0" w:beforeAutospacing="0" w:after="0" w:afterAutospacing="0" w:line="276" w:lineRule="auto"/>
        <w:ind w:right="565"/>
        <w:rPr>
          <w:rFonts w:ascii="Trebuchet MS" w:hAnsi="Trebuchet MS"/>
          <w:sz w:val="22"/>
          <w:szCs w:val="22"/>
        </w:rPr>
      </w:pPr>
    </w:p>
    <w:p w:rsidR="001345D6" w:rsidRPr="001345D6" w:rsidRDefault="001345D6" w:rsidP="00933F30">
      <w:pPr>
        <w:pStyle w:val="StandardWeb"/>
        <w:spacing w:before="0" w:beforeAutospacing="0" w:after="0" w:afterAutospacing="0" w:line="276" w:lineRule="auto"/>
        <w:ind w:right="565"/>
        <w:rPr>
          <w:rFonts w:ascii="Trebuchet MS" w:hAnsi="Trebuchet MS"/>
          <w:b/>
          <w:sz w:val="22"/>
          <w:szCs w:val="22"/>
          <w:u w:val="single"/>
        </w:rPr>
      </w:pPr>
      <w:r w:rsidRPr="001345D6">
        <w:rPr>
          <w:rFonts w:ascii="Trebuchet MS" w:hAnsi="Trebuchet MS"/>
          <w:b/>
          <w:sz w:val="22"/>
          <w:szCs w:val="22"/>
          <w:u w:val="single"/>
        </w:rPr>
        <w:t>Inhaltsübersicht</w:t>
      </w:r>
    </w:p>
    <w:p w:rsidR="001345D6" w:rsidRDefault="001345D6" w:rsidP="00933F30">
      <w:pPr>
        <w:pStyle w:val="StandardWeb"/>
        <w:spacing w:before="0" w:beforeAutospacing="0" w:after="0" w:afterAutospacing="0" w:line="276" w:lineRule="auto"/>
        <w:ind w:right="565"/>
        <w:rPr>
          <w:rFonts w:ascii="Trebuchet MS" w:hAnsi="Trebuchet MS"/>
          <w:sz w:val="22"/>
          <w:szCs w:val="22"/>
        </w:rPr>
      </w:pPr>
      <w:r>
        <w:rPr>
          <w:rFonts w:ascii="Trebuchet MS" w:hAnsi="Trebuchet MS"/>
          <w:sz w:val="22"/>
          <w:szCs w:val="22"/>
        </w:rPr>
        <w:t>Teil 1: Ein</w:t>
      </w:r>
      <w:r w:rsidR="00933F30">
        <w:rPr>
          <w:rFonts w:ascii="Trebuchet MS" w:hAnsi="Trebuchet MS"/>
          <w:sz w:val="22"/>
          <w:szCs w:val="22"/>
        </w:rPr>
        <w:t>leit</w:t>
      </w:r>
      <w:r>
        <w:rPr>
          <w:rFonts w:ascii="Trebuchet MS" w:hAnsi="Trebuchet MS"/>
          <w:sz w:val="22"/>
          <w:szCs w:val="22"/>
        </w:rPr>
        <w:t>ung</w:t>
      </w:r>
    </w:p>
    <w:p w:rsidR="001345D6" w:rsidRDefault="001345D6" w:rsidP="00933F30">
      <w:pPr>
        <w:pStyle w:val="StandardWeb"/>
        <w:spacing w:before="0" w:beforeAutospacing="0" w:after="0" w:afterAutospacing="0" w:line="276" w:lineRule="auto"/>
        <w:ind w:right="565"/>
        <w:rPr>
          <w:rFonts w:ascii="Trebuchet MS" w:hAnsi="Trebuchet MS"/>
          <w:sz w:val="22"/>
          <w:szCs w:val="22"/>
        </w:rPr>
      </w:pPr>
      <w:r>
        <w:rPr>
          <w:rFonts w:ascii="Trebuchet MS" w:hAnsi="Trebuchet MS"/>
          <w:sz w:val="22"/>
          <w:szCs w:val="22"/>
        </w:rPr>
        <w:t xml:space="preserve">Teil 2: </w:t>
      </w:r>
      <w:r w:rsidR="00933F30">
        <w:rPr>
          <w:rFonts w:ascii="Trebuchet MS" w:hAnsi="Trebuchet MS"/>
          <w:sz w:val="22"/>
          <w:szCs w:val="22"/>
        </w:rPr>
        <w:t>Grundlagen des Whistleblowings</w:t>
      </w:r>
      <w:r>
        <w:rPr>
          <w:rFonts w:ascii="Trebuchet MS" w:hAnsi="Trebuchet MS"/>
          <w:sz w:val="22"/>
          <w:szCs w:val="22"/>
        </w:rPr>
        <w:t xml:space="preserve"> </w:t>
      </w:r>
    </w:p>
    <w:p w:rsidR="001345D6" w:rsidRDefault="001345D6" w:rsidP="00933F30">
      <w:pPr>
        <w:pStyle w:val="StandardWeb"/>
        <w:spacing w:before="0" w:beforeAutospacing="0" w:after="0" w:afterAutospacing="0" w:line="276" w:lineRule="auto"/>
        <w:ind w:right="565"/>
        <w:rPr>
          <w:rFonts w:ascii="Trebuchet MS" w:hAnsi="Trebuchet MS"/>
          <w:sz w:val="22"/>
          <w:szCs w:val="22"/>
        </w:rPr>
      </w:pPr>
      <w:r>
        <w:rPr>
          <w:rFonts w:ascii="Trebuchet MS" w:hAnsi="Trebuchet MS"/>
          <w:sz w:val="22"/>
          <w:szCs w:val="22"/>
        </w:rPr>
        <w:t xml:space="preserve">Teil 3: </w:t>
      </w:r>
      <w:r w:rsidR="00933F30">
        <w:rPr>
          <w:rFonts w:ascii="Trebuchet MS" w:hAnsi="Trebuchet MS"/>
          <w:sz w:val="22"/>
          <w:szCs w:val="22"/>
        </w:rPr>
        <w:t xml:space="preserve">Strafrechtliche Bedeutung von Whistleblowing </w:t>
      </w:r>
    </w:p>
    <w:p w:rsidR="001345D6" w:rsidRDefault="001345D6" w:rsidP="00933F30">
      <w:pPr>
        <w:pStyle w:val="StandardWeb"/>
        <w:spacing w:before="0" w:beforeAutospacing="0" w:after="0" w:afterAutospacing="0" w:line="276" w:lineRule="auto"/>
        <w:ind w:right="565"/>
        <w:rPr>
          <w:rFonts w:ascii="Trebuchet MS" w:hAnsi="Trebuchet MS"/>
          <w:sz w:val="22"/>
          <w:szCs w:val="22"/>
        </w:rPr>
      </w:pPr>
      <w:r>
        <w:rPr>
          <w:rFonts w:ascii="Trebuchet MS" w:hAnsi="Trebuchet MS"/>
          <w:sz w:val="22"/>
          <w:szCs w:val="22"/>
        </w:rPr>
        <w:t xml:space="preserve">Teil 4: </w:t>
      </w:r>
      <w:r w:rsidR="00933F30">
        <w:rPr>
          <w:rFonts w:ascii="Trebuchet MS" w:hAnsi="Trebuchet MS"/>
          <w:sz w:val="22"/>
          <w:szCs w:val="22"/>
        </w:rPr>
        <w:t xml:space="preserve">Bisherige Lösungsansätze </w:t>
      </w:r>
    </w:p>
    <w:p w:rsidR="001345D6" w:rsidRDefault="001345D6" w:rsidP="00933F30">
      <w:pPr>
        <w:pStyle w:val="StandardWeb"/>
        <w:spacing w:before="0" w:beforeAutospacing="0" w:after="0" w:afterAutospacing="0" w:line="276" w:lineRule="auto"/>
        <w:ind w:right="565"/>
        <w:rPr>
          <w:rFonts w:ascii="Trebuchet MS" w:hAnsi="Trebuchet MS"/>
          <w:sz w:val="22"/>
          <w:szCs w:val="22"/>
        </w:rPr>
      </w:pPr>
      <w:r>
        <w:rPr>
          <w:rFonts w:ascii="Trebuchet MS" w:hAnsi="Trebuchet MS"/>
          <w:sz w:val="22"/>
          <w:szCs w:val="22"/>
        </w:rPr>
        <w:t xml:space="preserve">Teil 5: </w:t>
      </w:r>
      <w:r w:rsidR="00933F30">
        <w:rPr>
          <w:rFonts w:ascii="Trebuchet MS" w:hAnsi="Trebuchet MS"/>
          <w:sz w:val="22"/>
          <w:szCs w:val="22"/>
        </w:rPr>
        <w:t xml:space="preserve">Lösungsvorschlag </w:t>
      </w:r>
    </w:p>
    <w:p w:rsidR="008E7E90" w:rsidRDefault="008E7E90" w:rsidP="00933F30">
      <w:pPr>
        <w:tabs>
          <w:tab w:val="left" w:pos="7144"/>
        </w:tabs>
        <w:spacing w:line="276" w:lineRule="auto"/>
        <w:ind w:right="565"/>
        <w:rPr>
          <w:rFonts w:ascii="Trebuchet MS" w:hAnsi="Trebuchet MS" w:cs="Calibri"/>
          <w:sz w:val="22"/>
          <w:szCs w:val="22"/>
        </w:rPr>
      </w:pPr>
    </w:p>
    <w:p w:rsidR="00683EA1" w:rsidRPr="00E75DD9" w:rsidRDefault="00683EA1" w:rsidP="00933F30">
      <w:pPr>
        <w:tabs>
          <w:tab w:val="left" w:pos="7144"/>
        </w:tabs>
        <w:spacing w:line="276" w:lineRule="auto"/>
        <w:ind w:right="565"/>
        <w:rPr>
          <w:rFonts w:ascii="Trebuchet MS" w:hAnsi="Trebuchet MS" w:cs="Calibri"/>
          <w:sz w:val="22"/>
          <w:szCs w:val="22"/>
        </w:rPr>
      </w:pPr>
    </w:p>
    <w:p w:rsidR="00CC0A8C" w:rsidRPr="00D92DF1" w:rsidRDefault="00D92DF1" w:rsidP="00933F30">
      <w:pPr>
        <w:pStyle w:val="berschrift1"/>
        <w:spacing w:line="276" w:lineRule="auto"/>
        <w:ind w:right="565"/>
        <w:rPr>
          <w:rFonts w:ascii="Trebuchet MS" w:hAnsi="Trebuchet MS"/>
          <w:sz w:val="28"/>
          <w:szCs w:val="28"/>
        </w:rPr>
      </w:pPr>
      <w:r w:rsidRPr="00D92DF1">
        <w:rPr>
          <w:rFonts w:ascii="Trebuchet MS" w:hAnsi="Trebuchet MS"/>
          <w:szCs w:val="22"/>
        </w:rPr>
        <w:t>Die Strafbarkeit von Whistleblowing im öffentlichen Dienst</w:t>
      </w:r>
      <w:r w:rsidR="008F1BD0" w:rsidRPr="00D92DF1">
        <w:rPr>
          <w:rFonts w:ascii="Trebuchet MS" w:hAnsi="Trebuchet MS"/>
          <w:szCs w:val="22"/>
        </w:rPr>
        <w:t xml:space="preserve">. </w:t>
      </w:r>
      <w:r w:rsidR="00BE7DA3" w:rsidRPr="00D92DF1">
        <w:rPr>
          <w:rFonts w:ascii="Trebuchet MS" w:hAnsi="Trebuchet MS"/>
          <w:b w:val="0"/>
          <w:szCs w:val="22"/>
        </w:rPr>
        <w:t xml:space="preserve">Dissertation. </w:t>
      </w:r>
      <w:r w:rsidR="007D7D84" w:rsidRPr="00D92DF1">
        <w:rPr>
          <w:rFonts w:ascii="Trebuchet MS" w:hAnsi="Trebuchet MS"/>
          <w:b w:val="0"/>
          <w:szCs w:val="22"/>
        </w:rPr>
        <w:br/>
      </w:r>
      <w:r w:rsidR="00CC0A8C" w:rsidRPr="00E75DD9">
        <w:rPr>
          <w:rFonts w:ascii="Trebuchet MS" w:hAnsi="Trebuchet MS" w:cs="Calibri"/>
          <w:b w:val="0"/>
          <w:szCs w:val="22"/>
        </w:rPr>
        <w:t xml:space="preserve">Von </w:t>
      </w:r>
      <w:r>
        <w:rPr>
          <w:rFonts w:ascii="Trebuchet MS" w:hAnsi="Trebuchet MS" w:cs="Calibri"/>
          <w:b w:val="0"/>
          <w:szCs w:val="22"/>
        </w:rPr>
        <w:t>Ruben Gernot</w:t>
      </w:r>
      <w:r w:rsidR="00E75DD9">
        <w:rPr>
          <w:rFonts w:ascii="Trebuchet MS" w:hAnsi="Trebuchet MS" w:cs="Calibri"/>
          <w:b w:val="0"/>
          <w:szCs w:val="22"/>
        </w:rPr>
        <w:t xml:space="preserve"> </w:t>
      </w:r>
      <w:proofErr w:type="spellStart"/>
      <w:r>
        <w:rPr>
          <w:rFonts w:ascii="Trebuchet MS" w:hAnsi="Trebuchet MS" w:cs="Calibri"/>
          <w:b w:val="0"/>
          <w:szCs w:val="22"/>
        </w:rPr>
        <w:t>Doneleit</w:t>
      </w:r>
      <w:proofErr w:type="spellEnd"/>
      <w:r w:rsidR="00EC448A" w:rsidRPr="00E75DD9">
        <w:rPr>
          <w:rFonts w:ascii="Trebuchet MS" w:hAnsi="Trebuchet MS" w:cs="Calibri"/>
          <w:b w:val="0"/>
          <w:szCs w:val="22"/>
        </w:rPr>
        <w:t>.</w:t>
      </w:r>
      <w:r w:rsidR="00CC0A8C" w:rsidRPr="00E75DD9">
        <w:rPr>
          <w:rFonts w:ascii="Trebuchet MS" w:hAnsi="Trebuchet MS" w:cs="Calibri"/>
          <w:b w:val="0"/>
          <w:szCs w:val="22"/>
        </w:rPr>
        <w:t xml:space="preserve"> </w:t>
      </w:r>
      <w:r w:rsidR="00EC448A" w:rsidRPr="00E75DD9">
        <w:rPr>
          <w:rFonts w:ascii="Trebuchet MS" w:hAnsi="Trebuchet MS" w:cs="Calibri"/>
          <w:b w:val="0"/>
          <w:iCs/>
          <w:szCs w:val="22"/>
        </w:rPr>
        <w:t>202</w:t>
      </w:r>
      <w:r w:rsidR="008F1BD0">
        <w:rPr>
          <w:rFonts w:ascii="Trebuchet MS" w:hAnsi="Trebuchet MS" w:cs="Calibri"/>
          <w:b w:val="0"/>
          <w:iCs/>
          <w:szCs w:val="22"/>
        </w:rPr>
        <w:t>4</w:t>
      </w:r>
      <w:r w:rsidR="00E75DD9">
        <w:rPr>
          <w:rFonts w:ascii="Trebuchet MS" w:hAnsi="Trebuchet MS" w:cs="Calibri"/>
          <w:b w:val="0"/>
          <w:iCs/>
          <w:szCs w:val="22"/>
        </w:rPr>
        <w:t>. XXI</w:t>
      </w:r>
      <w:r w:rsidR="00EC448A" w:rsidRPr="00E75DD9">
        <w:rPr>
          <w:rFonts w:ascii="Trebuchet MS" w:hAnsi="Trebuchet MS" w:cs="Calibri"/>
          <w:b w:val="0"/>
          <w:szCs w:val="22"/>
        </w:rPr>
        <w:t xml:space="preserve">, </w:t>
      </w:r>
      <w:r>
        <w:rPr>
          <w:rFonts w:ascii="Trebuchet MS" w:hAnsi="Trebuchet MS" w:cs="Calibri"/>
          <w:b w:val="0"/>
          <w:szCs w:val="22"/>
        </w:rPr>
        <w:t>378</w:t>
      </w:r>
      <w:r w:rsidR="00CC0A8C" w:rsidRPr="00E75DD9">
        <w:rPr>
          <w:rFonts w:ascii="Trebuchet MS" w:hAnsi="Trebuchet MS" w:cs="Calibri"/>
          <w:b w:val="0"/>
          <w:szCs w:val="22"/>
        </w:rPr>
        <w:t xml:space="preserve"> Seiten. </w:t>
      </w:r>
      <w:r w:rsidR="008F1BD0">
        <w:rPr>
          <w:rFonts w:ascii="Trebuchet MS" w:hAnsi="Trebuchet MS" w:cs="Calibri"/>
          <w:b w:val="0"/>
          <w:szCs w:val="22"/>
        </w:rPr>
        <w:t>Gebunden</w:t>
      </w:r>
      <w:r w:rsidR="00CC0A8C" w:rsidRPr="00E75DD9">
        <w:rPr>
          <w:rFonts w:ascii="Trebuchet MS" w:hAnsi="Trebuchet MS" w:cs="Calibri"/>
          <w:b w:val="0"/>
          <w:szCs w:val="22"/>
        </w:rPr>
        <w:t xml:space="preserve">. € </w:t>
      </w:r>
      <w:r w:rsidR="008F1BD0">
        <w:rPr>
          <w:rFonts w:ascii="Trebuchet MS" w:hAnsi="Trebuchet MS" w:cs="Calibri"/>
          <w:b w:val="0"/>
          <w:szCs w:val="22"/>
        </w:rPr>
        <w:t>1</w:t>
      </w:r>
      <w:r>
        <w:rPr>
          <w:rFonts w:ascii="Trebuchet MS" w:hAnsi="Trebuchet MS" w:cs="Calibri"/>
          <w:b w:val="0"/>
          <w:szCs w:val="22"/>
        </w:rPr>
        <w:t>1</w:t>
      </w:r>
      <w:r w:rsidR="00EC448A" w:rsidRPr="00E75DD9">
        <w:rPr>
          <w:rFonts w:ascii="Trebuchet MS" w:hAnsi="Trebuchet MS" w:cs="Calibri"/>
          <w:b w:val="0"/>
          <w:szCs w:val="22"/>
        </w:rPr>
        <w:t>9</w:t>
      </w:r>
      <w:r w:rsidR="00CC0A8C" w:rsidRPr="00E75DD9">
        <w:rPr>
          <w:rFonts w:ascii="Trebuchet MS" w:hAnsi="Trebuchet MS" w:cs="Calibri"/>
          <w:b w:val="0"/>
          <w:szCs w:val="22"/>
        </w:rPr>
        <w:t xml:space="preserve">,00   </w:t>
      </w:r>
      <w:r>
        <w:rPr>
          <w:rFonts w:ascii="Trebuchet MS" w:hAnsi="Trebuchet MS" w:cs="Calibri"/>
          <w:b w:val="0"/>
          <w:szCs w:val="22"/>
        </w:rPr>
        <w:br/>
      </w:r>
      <w:r w:rsidR="00CC0A8C" w:rsidRPr="00E75DD9">
        <w:rPr>
          <w:rFonts w:ascii="Trebuchet MS" w:hAnsi="Trebuchet MS" w:cs="Calibri"/>
          <w:b w:val="0"/>
          <w:szCs w:val="22"/>
        </w:rPr>
        <w:t>ISBN 978-3-8114-</w:t>
      </w:r>
      <w:r w:rsidR="008F1BD0">
        <w:rPr>
          <w:rFonts w:ascii="Trebuchet MS" w:hAnsi="Trebuchet MS" w:cs="Calibri"/>
          <w:b w:val="0"/>
          <w:szCs w:val="22"/>
        </w:rPr>
        <w:t>6</w:t>
      </w:r>
      <w:r>
        <w:rPr>
          <w:rFonts w:ascii="Trebuchet MS" w:hAnsi="Trebuchet MS" w:cs="Calibri"/>
          <w:b w:val="0"/>
          <w:szCs w:val="22"/>
        </w:rPr>
        <w:t>243</w:t>
      </w:r>
      <w:r w:rsidR="00EC448A" w:rsidRPr="00E75DD9">
        <w:rPr>
          <w:rFonts w:ascii="Trebuchet MS" w:hAnsi="Trebuchet MS" w:cs="Calibri"/>
          <w:b w:val="0"/>
          <w:szCs w:val="22"/>
        </w:rPr>
        <w:t>-</w:t>
      </w:r>
      <w:r>
        <w:rPr>
          <w:rFonts w:ascii="Trebuchet MS" w:hAnsi="Trebuchet MS" w:cs="Calibri"/>
          <w:b w:val="0"/>
          <w:szCs w:val="22"/>
        </w:rPr>
        <w:t>4</w:t>
      </w:r>
    </w:p>
    <w:p w:rsidR="00E0628F" w:rsidRPr="00E0628F" w:rsidRDefault="00BE7DA3" w:rsidP="00933F30">
      <w:pPr>
        <w:ind w:right="565"/>
        <w:rPr>
          <w:rFonts w:ascii="Trebuchet MS" w:hAnsi="Trebuchet MS"/>
          <w:sz w:val="22"/>
          <w:szCs w:val="22"/>
        </w:rPr>
      </w:pPr>
      <w:r>
        <w:rPr>
          <w:rFonts w:ascii="Trebuchet MS" w:hAnsi="Trebuchet MS"/>
          <w:sz w:val="22"/>
          <w:szCs w:val="22"/>
        </w:rPr>
        <w:t>(</w:t>
      </w:r>
      <w:r w:rsidR="00E0628F" w:rsidRPr="00E0628F">
        <w:rPr>
          <w:rFonts w:ascii="Trebuchet MS" w:hAnsi="Trebuchet MS"/>
          <w:sz w:val="22"/>
          <w:szCs w:val="22"/>
        </w:rPr>
        <w:t>Schriften zum Wirtschaftsstrafrecht</w:t>
      </w:r>
      <w:r>
        <w:rPr>
          <w:rFonts w:ascii="Trebuchet MS" w:hAnsi="Trebuchet MS"/>
          <w:sz w:val="22"/>
          <w:szCs w:val="22"/>
        </w:rPr>
        <w:t>)</w:t>
      </w:r>
      <w:r w:rsidR="00E0628F" w:rsidRPr="00E0628F">
        <w:rPr>
          <w:rFonts w:ascii="Trebuchet MS" w:hAnsi="Trebuchet MS"/>
          <w:sz w:val="22"/>
          <w:szCs w:val="22"/>
        </w:rPr>
        <w:t xml:space="preserve"> </w:t>
      </w:r>
    </w:p>
    <w:p w:rsidR="004A2500" w:rsidRPr="004A2500" w:rsidRDefault="004A2500" w:rsidP="00933F30">
      <w:pPr>
        <w:ind w:right="565"/>
        <w:rPr>
          <w:rFonts w:ascii="Trebuchet MS" w:hAnsi="Trebuchet MS"/>
          <w:sz w:val="22"/>
          <w:szCs w:val="22"/>
        </w:rPr>
      </w:pPr>
    </w:p>
    <w:p w:rsidR="008F1BD0" w:rsidRPr="00EE0A17" w:rsidRDefault="00BE7DA3" w:rsidP="00933F30">
      <w:pPr>
        <w:ind w:right="565"/>
        <w:rPr>
          <w:rStyle w:val="linktext"/>
          <w:rFonts w:ascii="Trebuchet MS" w:hAnsi="Trebuchet MS"/>
          <w:sz w:val="22"/>
          <w:szCs w:val="22"/>
        </w:rPr>
      </w:pPr>
      <w:r w:rsidRPr="00BE7DA3">
        <w:rPr>
          <w:rFonts w:ascii="Trebuchet MS" w:hAnsi="Trebuchet MS"/>
          <w:sz w:val="22"/>
          <w:szCs w:val="22"/>
        </w:rPr>
        <w:t xml:space="preserve">Auch als </w:t>
      </w:r>
      <w:proofErr w:type="spellStart"/>
      <w:r w:rsidRPr="00BE7DA3">
        <w:rPr>
          <w:rFonts w:ascii="Trebuchet MS" w:hAnsi="Trebuchet MS"/>
          <w:sz w:val="22"/>
          <w:szCs w:val="22"/>
        </w:rPr>
        <w:t>ebook</w:t>
      </w:r>
      <w:proofErr w:type="spellEnd"/>
      <w:r w:rsidRPr="00BE7DA3">
        <w:rPr>
          <w:rFonts w:ascii="Trebuchet MS" w:hAnsi="Trebuchet MS"/>
          <w:sz w:val="22"/>
          <w:szCs w:val="22"/>
        </w:rPr>
        <w:t>:</w:t>
      </w:r>
      <w:r w:rsidRPr="00D31561">
        <w:rPr>
          <w:rFonts w:ascii="Trebuchet MS" w:hAnsi="Trebuchet MS"/>
          <w:sz w:val="22"/>
          <w:szCs w:val="22"/>
        </w:rPr>
        <w:t xml:space="preserve"> € </w:t>
      </w:r>
      <w:r w:rsidR="008F1BD0">
        <w:rPr>
          <w:rFonts w:ascii="Trebuchet MS" w:hAnsi="Trebuchet MS"/>
          <w:sz w:val="22"/>
          <w:szCs w:val="22"/>
        </w:rPr>
        <w:t>1</w:t>
      </w:r>
      <w:r w:rsidR="00D92DF1">
        <w:rPr>
          <w:rFonts w:ascii="Trebuchet MS" w:hAnsi="Trebuchet MS"/>
          <w:sz w:val="22"/>
          <w:szCs w:val="22"/>
        </w:rPr>
        <w:t>1</w:t>
      </w:r>
      <w:r>
        <w:rPr>
          <w:rFonts w:ascii="Trebuchet MS" w:hAnsi="Trebuchet MS"/>
          <w:sz w:val="22"/>
          <w:szCs w:val="22"/>
        </w:rPr>
        <w:t>8</w:t>
      </w:r>
      <w:r w:rsidRPr="00D31561">
        <w:rPr>
          <w:rFonts w:ascii="Trebuchet MS" w:hAnsi="Trebuchet MS"/>
          <w:sz w:val="22"/>
          <w:szCs w:val="22"/>
        </w:rPr>
        <w:t>,</w:t>
      </w:r>
      <w:r>
        <w:rPr>
          <w:rFonts w:ascii="Trebuchet MS" w:hAnsi="Trebuchet MS"/>
          <w:sz w:val="22"/>
          <w:szCs w:val="22"/>
        </w:rPr>
        <w:t xml:space="preserve">99  </w:t>
      </w:r>
      <w:r w:rsidRPr="00D31561">
        <w:rPr>
          <w:rFonts w:ascii="Trebuchet MS" w:hAnsi="Trebuchet MS"/>
          <w:sz w:val="22"/>
          <w:szCs w:val="22"/>
        </w:rPr>
        <w:t xml:space="preserve"> ISBN </w:t>
      </w:r>
      <w:r w:rsidR="00EE0A17" w:rsidRPr="00EE0A17">
        <w:fldChar w:fldCharType="begin"/>
      </w:r>
      <w:r w:rsidR="00EE0A17" w:rsidRPr="00EE0A17">
        <w:instrText xml:space="preserve"> HYPERLINK "https://www.sack.de/9783811456549?utm_source=ottoschmidt&amp;utm_medium=affiliate&amp;utm_campaign=ebook" \t "_blank" \o "Zum E-Book bei unserem Buchhandels-Partner" </w:instrText>
      </w:r>
      <w:r w:rsidR="00EE0A17" w:rsidRPr="00EE0A17">
        <w:fldChar w:fldCharType="separate"/>
      </w:r>
      <w:r w:rsidR="00D92DF1" w:rsidRPr="00D92DF1">
        <w:t xml:space="preserve"> </w:t>
      </w:r>
      <w:r w:rsidR="00D92DF1" w:rsidRPr="00D92DF1">
        <w:rPr>
          <w:rStyle w:val="linktext"/>
          <w:rFonts w:ascii="Trebuchet MS" w:hAnsi="Trebuchet MS"/>
          <w:sz w:val="22"/>
          <w:szCs w:val="22"/>
        </w:rPr>
        <w:t>978-3-8114-6244-1</w:t>
      </w:r>
    </w:p>
    <w:p w:rsidR="004A2500" w:rsidRPr="00EE0A17" w:rsidRDefault="00EE0A17" w:rsidP="00933F30">
      <w:pPr>
        <w:ind w:right="565"/>
        <w:rPr>
          <w:rStyle w:val="Hyperlink"/>
          <w:rFonts w:ascii="Trebuchet MS" w:hAnsi="Trebuchet MS"/>
          <w:color w:val="auto"/>
          <w:sz w:val="22"/>
          <w:szCs w:val="22"/>
        </w:rPr>
      </w:pPr>
      <w:r w:rsidRPr="00EE0A17">
        <w:rPr>
          <w:rStyle w:val="Hyperlink"/>
          <w:rFonts w:ascii="Trebuchet MS" w:hAnsi="Trebuchet MS"/>
          <w:color w:val="auto"/>
          <w:sz w:val="22"/>
          <w:szCs w:val="22"/>
        </w:rPr>
        <w:fldChar w:fldCharType="end"/>
      </w:r>
    </w:p>
    <w:p w:rsidR="00875226" w:rsidRPr="0047259C" w:rsidRDefault="00875226" w:rsidP="00933F30">
      <w:pPr>
        <w:ind w:right="565"/>
        <w:rPr>
          <w:rFonts w:ascii="Trebuchet MS" w:hAnsi="Trebuchet MS"/>
          <w:sz w:val="22"/>
          <w:szCs w:val="22"/>
        </w:rPr>
      </w:pPr>
    </w:p>
    <w:p w:rsidR="00C779CD" w:rsidRPr="004A2500" w:rsidRDefault="00B73B84" w:rsidP="00933F30">
      <w:pPr>
        <w:tabs>
          <w:tab w:val="left" w:pos="7144"/>
        </w:tabs>
        <w:spacing w:line="276" w:lineRule="auto"/>
        <w:ind w:right="565"/>
        <w:rPr>
          <w:rFonts w:ascii="Trebuchet MS" w:hAnsi="Trebuchet MS" w:cs="Calibri"/>
          <w:b/>
          <w:bCs/>
          <w:sz w:val="22"/>
          <w:szCs w:val="22"/>
        </w:rPr>
      </w:pPr>
      <w:r w:rsidRPr="004A2500">
        <w:rPr>
          <w:rFonts w:ascii="Trebuchet MS" w:hAnsi="Trebuchet MS" w:cs="Calibri"/>
          <w:b/>
          <w:sz w:val="22"/>
          <w:szCs w:val="22"/>
        </w:rPr>
        <w:t>C.F. Müller GmbH</w:t>
      </w:r>
      <w:r w:rsidR="00FD30EB" w:rsidRPr="004A2500">
        <w:rPr>
          <w:rFonts w:ascii="Trebuchet MS" w:hAnsi="Trebuchet MS" w:cs="Calibri"/>
          <w:b/>
          <w:sz w:val="22"/>
          <w:szCs w:val="22"/>
        </w:rPr>
        <w:t xml:space="preserve">    </w:t>
      </w:r>
      <w:r w:rsidR="00473EF9" w:rsidRPr="004A2500">
        <w:rPr>
          <w:rFonts w:ascii="Trebuchet MS" w:hAnsi="Trebuchet MS" w:cs="Calibri"/>
          <w:b/>
          <w:sz w:val="22"/>
          <w:szCs w:val="22"/>
        </w:rPr>
        <w:t xml:space="preserve">                 </w:t>
      </w:r>
      <w:r w:rsidR="00FD30EB" w:rsidRPr="004A2500">
        <w:rPr>
          <w:rFonts w:ascii="Trebuchet MS" w:hAnsi="Trebuchet MS" w:cs="Calibri"/>
          <w:b/>
          <w:sz w:val="22"/>
          <w:szCs w:val="22"/>
        </w:rPr>
        <w:t xml:space="preserve"> </w:t>
      </w:r>
      <w:r w:rsidRPr="004A2500">
        <w:rPr>
          <w:rFonts w:ascii="Trebuchet MS" w:hAnsi="Trebuchet MS" w:cs="Calibri"/>
          <w:b/>
          <w:sz w:val="22"/>
          <w:szCs w:val="22"/>
        </w:rPr>
        <w:t xml:space="preserve">   </w:t>
      </w:r>
      <w:hyperlink r:id="rId7" w:history="1">
        <w:r w:rsidR="00FD30EB" w:rsidRPr="004A2500">
          <w:rPr>
            <w:rStyle w:val="Hyperlink"/>
            <w:rFonts w:ascii="Trebuchet MS" w:hAnsi="Trebuchet MS" w:cs="Calibri"/>
            <w:b/>
            <w:bCs/>
            <w:sz w:val="22"/>
            <w:szCs w:val="22"/>
          </w:rPr>
          <w:t>www.cfmueller.de</w:t>
        </w:r>
      </w:hyperlink>
      <w:r w:rsidR="00FD30EB" w:rsidRPr="004A2500">
        <w:rPr>
          <w:rFonts w:ascii="Trebuchet MS" w:hAnsi="Trebuchet MS" w:cs="Calibri"/>
          <w:b/>
          <w:bCs/>
          <w:sz w:val="22"/>
          <w:szCs w:val="22"/>
        </w:rPr>
        <w:t xml:space="preserve"> </w:t>
      </w:r>
    </w:p>
    <w:sectPr w:rsidR="00C779CD" w:rsidRPr="004A2500"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410" w:rsidRDefault="004C7410">
      <w:r>
        <w:separator/>
      </w:r>
    </w:p>
  </w:endnote>
  <w:endnote w:type="continuationSeparator" w:id="0">
    <w:p w:rsidR="004C7410" w:rsidRDefault="004C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SemiCond">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157A18"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23C9C"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6759AF" w:rsidRPr="001E7EF8" w:rsidRDefault="006759AF" w:rsidP="00D2246F">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410" w:rsidRDefault="004C7410">
      <w:r>
        <w:separator/>
      </w:r>
    </w:p>
  </w:footnote>
  <w:footnote w:type="continuationSeparator" w:id="0">
    <w:p w:rsidR="004C7410" w:rsidRDefault="004C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157A18">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157A18">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157A18">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157A18">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54005"/>
    <w:multiLevelType w:val="hybridMultilevel"/>
    <w:tmpl w:val="7FC65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EC0A7C"/>
    <w:multiLevelType w:val="multilevel"/>
    <w:tmpl w:val="D4A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22110C"/>
    <w:multiLevelType w:val="multilevel"/>
    <w:tmpl w:val="447A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3EEE"/>
    <w:multiLevelType w:val="hybridMultilevel"/>
    <w:tmpl w:val="EF88B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6"/>
  </w:num>
  <w:num w:numId="4">
    <w:abstractNumId w:val="12"/>
  </w:num>
  <w:num w:numId="5">
    <w:abstractNumId w:val="1"/>
  </w:num>
  <w:num w:numId="6">
    <w:abstractNumId w:val="20"/>
  </w:num>
  <w:num w:numId="7">
    <w:abstractNumId w:val="5"/>
  </w:num>
  <w:num w:numId="8">
    <w:abstractNumId w:val="18"/>
  </w:num>
  <w:num w:numId="9">
    <w:abstractNumId w:val="0"/>
  </w:num>
  <w:num w:numId="10">
    <w:abstractNumId w:val="6"/>
  </w:num>
  <w:num w:numId="11">
    <w:abstractNumId w:val="27"/>
  </w:num>
  <w:num w:numId="12">
    <w:abstractNumId w:val="23"/>
  </w:num>
  <w:num w:numId="13">
    <w:abstractNumId w:val="8"/>
  </w:num>
  <w:num w:numId="14">
    <w:abstractNumId w:val="13"/>
  </w:num>
  <w:num w:numId="15">
    <w:abstractNumId w:val="22"/>
  </w:num>
  <w:num w:numId="16">
    <w:abstractNumId w:val="16"/>
  </w:num>
  <w:num w:numId="17">
    <w:abstractNumId w:val="24"/>
  </w:num>
  <w:num w:numId="18">
    <w:abstractNumId w:val="17"/>
  </w:num>
  <w:num w:numId="19">
    <w:abstractNumId w:val="14"/>
  </w:num>
  <w:num w:numId="20">
    <w:abstractNumId w:val="21"/>
  </w:num>
  <w:num w:numId="21">
    <w:abstractNumId w:val="19"/>
  </w:num>
  <w:num w:numId="22">
    <w:abstractNumId w:val="2"/>
  </w:num>
  <w:num w:numId="23">
    <w:abstractNumId w:val="7"/>
  </w:num>
  <w:num w:numId="24">
    <w:abstractNumId w:val="25"/>
  </w:num>
  <w:num w:numId="25">
    <w:abstractNumId w:val="9"/>
  </w:num>
  <w:num w:numId="26">
    <w:abstractNumId w:val="15"/>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F51"/>
    <w:rsid w:val="00015A3E"/>
    <w:rsid w:val="00025379"/>
    <w:rsid w:val="000261F5"/>
    <w:rsid w:val="00027E78"/>
    <w:rsid w:val="000302FE"/>
    <w:rsid w:val="000405AE"/>
    <w:rsid w:val="00041136"/>
    <w:rsid w:val="00042577"/>
    <w:rsid w:val="0004754D"/>
    <w:rsid w:val="00056A02"/>
    <w:rsid w:val="0006408D"/>
    <w:rsid w:val="00074FE9"/>
    <w:rsid w:val="000A16EC"/>
    <w:rsid w:val="000A2E80"/>
    <w:rsid w:val="000B37DD"/>
    <w:rsid w:val="000B4AFE"/>
    <w:rsid w:val="000C0F48"/>
    <w:rsid w:val="000C33B5"/>
    <w:rsid w:val="000C3E6A"/>
    <w:rsid w:val="000D6DB9"/>
    <w:rsid w:val="000D7666"/>
    <w:rsid w:val="000E5195"/>
    <w:rsid w:val="000E552A"/>
    <w:rsid w:val="000F2B93"/>
    <w:rsid w:val="000F32BB"/>
    <w:rsid w:val="000F53A5"/>
    <w:rsid w:val="000F6A42"/>
    <w:rsid w:val="0010459F"/>
    <w:rsid w:val="00104A20"/>
    <w:rsid w:val="00107F00"/>
    <w:rsid w:val="001345D6"/>
    <w:rsid w:val="00136C23"/>
    <w:rsid w:val="00144B5C"/>
    <w:rsid w:val="00157A18"/>
    <w:rsid w:val="0016227D"/>
    <w:rsid w:val="001766F6"/>
    <w:rsid w:val="001801D4"/>
    <w:rsid w:val="001829EC"/>
    <w:rsid w:val="001837D4"/>
    <w:rsid w:val="00183E17"/>
    <w:rsid w:val="001D24FB"/>
    <w:rsid w:val="001E7EF8"/>
    <w:rsid w:val="001F0265"/>
    <w:rsid w:val="00201E69"/>
    <w:rsid w:val="0020261F"/>
    <w:rsid w:val="00212F21"/>
    <w:rsid w:val="0022015F"/>
    <w:rsid w:val="00222246"/>
    <w:rsid w:val="002265AE"/>
    <w:rsid w:val="0025681C"/>
    <w:rsid w:val="00261A1C"/>
    <w:rsid w:val="002661CE"/>
    <w:rsid w:val="00272627"/>
    <w:rsid w:val="002824FC"/>
    <w:rsid w:val="0028250A"/>
    <w:rsid w:val="00287874"/>
    <w:rsid w:val="002A24DD"/>
    <w:rsid w:val="002A2C8B"/>
    <w:rsid w:val="002A5DAC"/>
    <w:rsid w:val="002C0F1B"/>
    <w:rsid w:val="002D2328"/>
    <w:rsid w:val="002D4306"/>
    <w:rsid w:val="002D547E"/>
    <w:rsid w:val="002E04B1"/>
    <w:rsid w:val="002E23BF"/>
    <w:rsid w:val="002F0A72"/>
    <w:rsid w:val="003071BA"/>
    <w:rsid w:val="00312161"/>
    <w:rsid w:val="00314D46"/>
    <w:rsid w:val="0031769A"/>
    <w:rsid w:val="0032009E"/>
    <w:rsid w:val="003225C1"/>
    <w:rsid w:val="00323673"/>
    <w:rsid w:val="003448B1"/>
    <w:rsid w:val="00345F44"/>
    <w:rsid w:val="00352174"/>
    <w:rsid w:val="003525BD"/>
    <w:rsid w:val="003648FF"/>
    <w:rsid w:val="00367B51"/>
    <w:rsid w:val="003709F1"/>
    <w:rsid w:val="00384A34"/>
    <w:rsid w:val="003852A5"/>
    <w:rsid w:val="00392A08"/>
    <w:rsid w:val="00393CDF"/>
    <w:rsid w:val="0039422C"/>
    <w:rsid w:val="00395C3B"/>
    <w:rsid w:val="003A0C9A"/>
    <w:rsid w:val="003A12DC"/>
    <w:rsid w:val="003B0972"/>
    <w:rsid w:val="003B2442"/>
    <w:rsid w:val="003C2A55"/>
    <w:rsid w:val="003C7255"/>
    <w:rsid w:val="003D7C34"/>
    <w:rsid w:val="003E1583"/>
    <w:rsid w:val="003E3833"/>
    <w:rsid w:val="003E63F2"/>
    <w:rsid w:val="003E7E29"/>
    <w:rsid w:val="00420F2F"/>
    <w:rsid w:val="00423214"/>
    <w:rsid w:val="004506FE"/>
    <w:rsid w:val="004567A8"/>
    <w:rsid w:val="004631A5"/>
    <w:rsid w:val="0047259C"/>
    <w:rsid w:val="00473EF9"/>
    <w:rsid w:val="0047458E"/>
    <w:rsid w:val="00475105"/>
    <w:rsid w:val="00486576"/>
    <w:rsid w:val="00486847"/>
    <w:rsid w:val="00490582"/>
    <w:rsid w:val="004A2500"/>
    <w:rsid w:val="004B328F"/>
    <w:rsid w:val="004B3C28"/>
    <w:rsid w:val="004C7410"/>
    <w:rsid w:val="004D4EC4"/>
    <w:rsid w:val="004D7724"/>
    <w:rsid w:val="005026B2"/>
    <w:rsid w:val="00511F11"/>
    <w:rsid w:val="00513041"/>
    <w:rsid w:val="0053753C"/>
    <w:rsid w:val="0054093A"/>
    <w:rsid w:val="0054519F"/>
    <w:rsid w:val="00545520"/>
    <w:rsid w:val="00546536"/>
    <w:rsid w:val="00547BA4"/>
    <w:rsid w:val="00550CA7"/>
    <w:rsid w:val="00553033"/>
    <w:rsid w:val="00553C78"/>
    <w:rsid w:val="00572C77"/>
    <w:rsid w:val="005776D5"/>
    <w:rsid w:val="00580310"/>
    <w:rsid w:val="0058078F"/>
    <w:rsid w:val="00581ABA"/>
    <w:rsid w:val="00582B03"/>
    <w:rsid w:val="005868DF"/>
    <w:rsid w:val="005870F7"/>
    <w:rsid w:val="005A64FA"/>
    <w:rsid w:val="005B5EF6"/>
    <w:rsid w:val="005B6493"/>
    <w:rsid w:val="005C331F"/>
    <w:rsid w:val="005C488B"/>
    <w:rsid w:val="005C6958"/>
    <w:rsid w:val="005D0A59"/>
    <w:rsid w:val="005D4AE4"/>
    <w:rsid w:val="005E12D2"/>
    <w:rsid w:val="005E4CD6"/>
    <w:rsid w:val="005F4AAE"/>
    <w:rsid w:val="00600503"/>
    <w:rsid w:val="00600A5E"/>
    <w:rsid w:val="0061654B"/>
    <w:rsid w:val="006205E9"/>
    <w:rsid w:val="00625FF1"/>
    <w:rsid w:val="006450C6"/>
    <w:rsid w:val="00652387"/>
    <w:rsid w:val="00657C2D"/>
    <w:rsid w:val="00657D35"/>
    <w:rsid w:val="00661B82"/>
    <w:rsid w:val="0067062B"/>
    <w:rsid w:val="00674EBA"/>
    <w:rsid w:val="006759AF"/>
    <w:rsid w:val="00675E0C"/>
    <w:rsid w:val="006778FE"/>
    <w:rsid w:val="006812EE"/>
    <w:rsid w:val="00683EA1"/>
    <w:rsid w:val="006847F1"/>
    <w:rsid w:val="00691974"/>
    <w:rsid w:val="006A1E93"/>
    <w:rsid w:val="006A62DE"/>
    <w:rsid w:val="006B2BDD"/>
    <w:rsid w:val="006B4DE9"/>
    <w:rsid w:val="006B7D3A"/>
    <w:rsid w:val="006C18F7"/>
    <w:rsid w:val="006E68AE"/>
    <w:rsid w:val="006E6A7A"/>
    <w:rsid w:val="006E6FCE"/>
    <w:rsid w:val="006E76B4"/>
    <w:rsid w:val="0072418C"/>
    <w:rsid w:val="00736406"/>
    <w:rsid w:val="007406BE"/>
    <w:rsid w:val="007556B8"/>
    <w:rsid w:val="00755924"/>
    <w:rsid w:val="00756DDE"/>
    <w:rsid w:val="00757E68"/>
    <w:rsid w:val="0076172E"/>
    <w:rsid w:val="00773FC3"/>
    <w:rsid w:val="007832A7"/>
    <w:rsid w:val="0078360A"/>
    <w:rsid w:val="00784EAE"/>
    <w:rsid w:val="00793781"/>
    <w:rsid w:val="00796C0A"/>
    <w:rsid w:val="00796FC8"/>
    <w:rsid w:val="007A7125"/>
    <w:rsid w:val="007B57E8"/>
    <w:rsid w:val="007C3BCA"/>
    <w:rsid w:val="007C5E00"/>
    <w:rsid w:val="007D20AD"/>
    <w:rsid w:val="007D734F"/>
    <w:rsid w:val="007D7D27"/>
    <w:rsid w:val="007D7D84"/>
    <w:rsid w:val="007E73C5"/>
    <w:rsid w:val="007F0617"/>
    <w:rsid w:val="007F6EB0"/>
    <w:rsid w:val="00801E42"/>
    <w:rsid w:val="0080258D"/>
    <w:rsid w:val="00822083"/>
    <w:rsid w:val="00826FB8"/>
    <w:rsid w:val="0083201C"/>
    <w:rsid w:val="00833D72"/>
    <w:rsid w:val="00846E5E"/>
    <w:rsid w:val="00856EFB"/>
    <w:rsid w:val="00861C99"/>
    <w:rsid w:val="008675A3"/>
    <w:rsid w:val="00875226"/>
    <w:rsid w:val="00876698"/>
    <w:rsid w:val="00876888"/>
    <w:rsid w:val="008933A9"/>
    <w:rsid w:val="008A01DB"/>
    <w:rsid w:val="008A30A8"/>
    <w:rsid w:val="008A40A2"/>
    <w:rsid w:val="008A56AD"/>
    <w:rsid w:val="008B074F"/>
    <w:rsid w:val="008D2EF6"/>
    <w:rsid w:val="008E78DD"/>
    <w:rsid w:val="008E7E90"/>
    <w:rsid w:val="008F172B"/>
    <w:rsid w:val="008F1BD0"/>
    <w:rsid w:val="008F6EA3"/>
    <w:rsid w:val="00902074"/>
    <w:rsid w:val="00902FF8"/>
    <w:rsid w:val="00903868"/>
    <w:rsid w:val="00907607"/>
    <w:rsid w:val="00910B74"/>
    <w:rsid w:val="00933F30"/>
    <w:rsid w:val="009370B4"/>
    <w:rsid w:val="00961008"/>
    <w:rsid w:val="00961CED"/>
    <w:rsid w:val="00965F9B"/>
    <w:rsid w:val="00985A88"/>
    <w:rsid w:val="009A0F53"/>
    <w:rsid w:val="009C4778"/>
    <w:rsid w:val="009C66B6"/>
    <w:rsid w:val="009E16DB"/>
    <w:rsid w:val="009F6DCB"/>
    <w:rsid w:val="00A06868"/>
    <w:rsid w:val="00A06F1D"/>
    <w:rsid w:val="00A12221"/>
    <w:rsid w:val="00A14F46"/>
    <w:rsid w:val="00A166BA"/>
    <w:rsid w:val="00A2222C"/>
    <w:rsid w:val="00A35306"/>
    <w:rsid w:val="00A44C19"/>
    <w:rsid w:val="00A47B57"/>
    <w:rsid w:val="00A540D1"/>
    <w:rsid w:val="00A57D4E"/>
    <w:rsid w:val="00A61851"/>
    <w:rsid w:val="00A71584"/>
    <w:rsid w:val="00A7180C"/>
    <w:rsid w:val="00A90227"/>
    <w:rsid w:val="00A903D6"/>
    <w:rsid w:val="00A94482"/>
    <w:rsid w:val="00AA349C"/>
    <w:rsid w:val="00AB15A8"/>
    <w:rsid w:val="00AB5BC3"/>
    <w:rsid w:val="00AC2D3B"/>
    <w:rsid w:val="00AD0C05"/>
    <w:rsid w:val="00AD4F42"/>
    <w:rsid w:val="00AE11F8"/>
    <w:rsid w:val="00AF1476"/>
    <w:rsid w:val="00AF1C06"/>
    <w:rsid w:val="00AF1E62"/>
    <w:rsid w:val="00AF35BB"/>
    <w:rsid w:val="00AF3DB9"/>
    <w:rsid w:val="00B0403B"/>
    <w:rsid w:val="00B11A6F"/>
    <w:rsid w:val="00B14FC4"/>
    <w:rsid w:val="00B24042"/>
    <w:rsid w:val="00B32D52"/>
    <w:rsid w:val="00B43D56"/>
    <w:rsid w:val="00B50D60"/>
    <w:rsid w:val="00B6405D"/>
    <w:rsid w:val="00B73B84"/>
    <w:rsid w:val="00B758B8"/>
    <w:rsid w:val="00B81C94"/>
    <w:rsid w:val="00B84592"/>
    <w:rsid w:val="00B924FC"/>
    <w:rsid w:val="00BA3BD3"/>
    <w:rsid w:val="00BA769E"/>
    <w:rsid w:val="00BB74E2"/>
    <w:rsid w:val="00BC301A"/>
    <w:rsid w:val="00BC4F53"/>
    <w:rsid w:val="00BE0D8A"/>
    <w:rsid w:val="00BE1656"/>
    <w:rsid w:val="00BE4833"/>
    <w:rsid w:val="00BE6EB2"/>
    <w:rsid w:val="00BE7DA3"/>
    <w:rsid w:val="00BF1957"/>
    <w:rsid w:val="00C04640"/>
    <w:rsid w:val="00C07B56"/>
    <w:rsid w:val="00C11062"/>
    <w:rsid w:val="00C17B7C"/>
    <w:rsid w:val="00C2275D"/>
    <w:rsid w:val="00C242E7"/>
    <w:rsid w:val="00C25F9D"/>
    <w:rsid w:val="00C3627F"/>
    <w:rsid w:val="00C40745"/>
    <w:rsid w:val="00C44FF7"/>
    <w:rsid w:val="00C4572F"/>
    <w:rsid w:val="00C46220"/>
    <w:rsid w:val="00C625D2"/>
    <w:rsid w:val="00C72CDD"/>
    <w:rsid w:val="00C76167"/>
    <w:rsid w:val="00C779CD"/>
    <w:rsid w:val="00C945C5"/>
    <w:rsid w:val="00C95977"/>
    <w:rsid w:val="00C96432"/>
    <w:rsid w:val="00CA4ACD"/>
    <w:rsid w:val="00CC0A8C"/>
    <w:rsid w:val="00CC1373"/>
    <w:rsid w:val="00CC22F4"/>
    <w:rsid w:val="00CC4B87"/>
    <w:rsid w:val="00CD23A9"/>
    <w:rsid w:val="00CD6DFF"/>
    <w:rsid w:val="00CE480C"/>
    <w:rsid w:val="00CE501D"/>
    <w:rsid w:val="00CF5F7D"/>
    <w:rsid w:val="00CF63D9"/>
    <w:rsid w:val="00D0073B"/>
    <w:rsid w:val="00D0359D"/>
    <w:rsid w:val="00D059B0"/>
    <w:rsid w:val="00D1132F"/>
    <w:rsid w:val="00D172F2"/>
    <w:rsid w:val="00D2246F"/>
    <w:rsid w:val="00D232E8"/>
    <w:rsid w:val="00D3595B"/>
    <w:rsid w:val="00D40254"/>
    <w:rsid w:val="00D45E91"/>
    <w:rsid w:val="00D50E70"/>
    <w:rsid w:val="00D715D7"/>
    <w:rsid w:val="00D77BAE"/>
    <w:rsid w:val="00D81A98"/>
    <w:rsid w:val="00D82DDA"/>
    <w:rsid w:val="00D8413F"/>
    <w:rsid w:val="00D92AFC"/>
    <w:rsid w:val="00D92DF1"/>
    <w:rsid w:val="00D9531B"/>
    <w:rsid w:val="00DA4603"/>
    <w:rsid w:val="00DA65D5"/>
    <w:rsid w:val="00DB0F75"/>
    <w:rsid w:val="00DB1F3E"/>
    <w:rsid w:val="00DB405E"/>
    <w:rsid w:val="00DB4500"/>
    <w:rsid w:val="00DC7B31"/>
    <w:rsid w:val="00DD2DB2"/>
    <w:rsid w:val="00DD62E2"/>
    <w:rsid w:val="00DE144E"/>
    <w:rsid w:val="00DE4AAC"/>
    <w:rsid w:val="00DF128A"/>
    <w:rsid w:val="00DF2558"/>
    <w:rsid w:val="00E03380"/>
    <w:rsid w:val="00E03FE5"/>
    <w:rsid w:val="00E0628F"/>
    <w:rsid w:val="00E11366"/>
    <w:rsid w:val="00E16710"/>
    <w:rsid w:val="00E223B2"/>
    <w:rsid w:val="00E36BCD"/>
    <w:rsid w:val="00E376B0"/>
    <w:rsid w:val="00E579F5"/>
    <w:rsid w:val="00E60B90"/>
    <w:rsid w:val="00E73320"/>
    <w:rsid w:val="00E74CD8"/>
    <w:rsid w:val="00E75DD9"/>
    <w:rsid w:val="00E772C5"/>
    <w:rsid w:val="00E77575"/>
    <w:rsid w:val="00E8760C"/>
    <w:rsid w:val="00E94F0A"/>
    <w:rsid w:val="00EA00C1"/>
    <w:rsid w:val="00EA763E"/>
    <w:rsid w:val="00EC448A"/>
    <w:rsid w:val="00EE0A17"/>
    <w:rsid w:val="00EE1E1D"/>
    <w:rsid w:val="00EE2D05"/>
    <w:rsid w:val="00EE72DC"/>
    <w:rsid w:val="00F02556"/>
    <w:rsid w:val="00F031FE"/>
    <w:rsid w:val="00F05DF5"/>
    <w:rsid w:val="00F0739A"/>
    <w:rsid w:val="00F16FB0"/>
    <w:rsid w:val="00F34496"/>
    <w:rsid w:val="00F36D30"/>
    <w:rsid w:val="00F40279"/>
    <w:rsid w:val="00F421DC"/>
    <w:rsid w:val="00F4438D"/>
    <w:rsid w:val="00F44F9C"/>
    <w:rsid w:val="00F46AC7"/>
    <w:rsid w:val="00F548FB"/>
    <w:rsid w:val="00F63865"/>
    <w:rsid w:val="00F74931"/>
    <w:rsid w:val="00F75035"/>
    <w:rsid w:val="00F751C4"/>
    <w:rsid w:val="00F77EA7"/>
    <w:rsid w:val="00F848CA"/>
    <w:rsid w:val="00FA6996"/>
    <w:rsid w:val="00FD30EB"/>
    <w:rsid w:val="00FD4DC5"/>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CA5AEC5"/>
  <w15:chartTrackingRefBased/>
  <w15:docId w15:val="{BDA2E360-6D79-4093-9166-A5260B9A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EinfAbs">
    <w:name w:val="[Einf. Abs.]"/>
    <w:basedOn w:val="Standard"/>
    <w:uiPriority w:val="99"/>
    <w:rsid w:val="00AF3DB9"/>
    <w:pPr>
      <w:autoSpaceDE w:val="0"/>
      <w:autoSpaceDN w:val="0"/>
      <w:spacing w:line="312" w:lineRule="auto"/>
    </w:pPr>
    <w:rPr>
      <w:rFonts w:ascii="Myriad Pro SemiCond" w:eastAsia="Calibri" w:hAnsi="Myriad Pro SemiCond"/>
      <w:color w:val="000000"/>
      <w:sz w:val="18"/>
      <w:szCs w:val="18"/>
      <w:lang w:eastAsia="en-US"/>
    </w:rPr>
  </w:style>
  <w:style w:type="character" w:customStyle="1" w:styleId="linktext">
    <w:name w:val="linktext"/>
    <w:rsid w:val="0047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9931">
      <w:bodyDiv w:val="1"/>
      <w:marLeft w:val="0"/>
      <w:marRight w:val="0"/>
      <w:marTop w:val="0"/>
      <w:marBottom w:val="0"/>
      <w:divBdr>
        <w:top w:val="none" w:sz="0" w:space="0" w:color="auto"/>
        <w:left w:val="none" w:sz="0" w:space="0" w:color="auto"/>
        <w:bottom w:val="none" w:sz="0" w:space="0" w:color="auto"/>
        <w:right w:val="none" w:sz="0" w:space="0" w:color="auto"/>
      </w:divBdr>
    </w:div>
    <w:div w:id="169033211">
      <w:bodyDiv w:val="1"/>
      <w:marLeft w:val="0"/>
      <w:marRight w:val="0"/>
      <w:marTop w:val="0"/>
      <w:marBottom w:val="0"/>
      <w:divBdr>
        <w:top w:val="none" w:sz="0" w:space="0" w:color="auto"/>
        <w:left w:val="none" w:sz="0" w:space="0" w:color="auto"/>
        <w:bottom w:val="none" w:sz="0" w:space="0" w:color="auto"/>
        <w:right w:val="none" w:sz="0" w:space="0" w:color="auto"/>
      </w:divBdr>
    </w:div>
    <w:div w:id="197084539">
      <w:bodyDiv w:val="1"/>
      <w:marLeft w:val="0"/>
      <w:marRight w:val="0"/>
      <w:marTop w:val="0"/>
      <w:marBottom w:val="0"/>
      <w:divBdr>
        <w:top w:val="none" w:sz="0" w:space="0" w:color="auto"/>
        <w:left w:val="none" w:sz="0" w:space="0" w:color="auto"/>
        <w:bottom w:val="none" w:sz="0" w:space="0" w:color="auto"/>
        <w:right w:val="none" w:sz="0" w:space="0" w:color="auto"/>
      </w:divBdr>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068">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47941211">
      <w:bodyDiv w:val="1"/>
      <w:marLeft w:val="0"/>
      <w:marRight w:val="0"/>
      <w:marTop w:val="0"/>
      <w:marBottom w:val="0"/>
      <w:divBdr>
        <w:top w:val="none" w:sz="0" w:space="0" w:color="auto"/>
        <w:left w:val="none" w:sz="0" w:space="0" w:color="auto"/>
        <w:bottom w:val="none" w:sz="0" w:space="0" w:color="auto"/>
        <w:right w:val="none" w:sz="0" w:space="0" w:color="auto"/>
      </w:divBdr>
    </w:div>
    <w:div w:id="1226992354">
      <w:bodyDiv w:val="1"/>
      <w:marLeft w:val="0"/>
      <w:marRight w:val="0"/>
      <w:marTop w:val="0"/>
      <w:marBottom w:val="0"/>
      <w:divBdr>
        <w:top w:val="none" w:sz="0" w:space="0" w:color="auto"/>
        <w:left w:val="none" w:sz="0" w:space="0" w:color="auto"/>
        <w:bottom w:val="none" w:sz="0" w:space="0" w:color="auto"/>
        <w:right w:val="none" w:sz="0" w:space="0" w:color="auto"/>
      </w:divBdr>
      <w:divsChild>
        <w:div w:id="1686708308">
          <w:marLeft w:val="0"/>
          <w:marRight w:val="0"/>
          <w:marTop w:val="0"/>
          <w:marBottom w:val="0"/>
          <w:divBdr>
            <w:top w:val="none" w:sz="0" w:space="0" w:color="auto"/>
            <w:left w:val="none" w:sz="0" w:space="0" w:color="auto"/>
            <w:bottom w:val="none" w:sz="0" w:space="0" w:color="auto"/>
            <w:right w:val="none" w:sz="0" w:space="0" w:color="auto"/>
          </w:divBdr>
        </w:div>
      </w:divsChild>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806">
      <w:bodyDiv w:val="1"/>
      <w:marLeft w:val="0"/>
      <w:marRight w:val="0"/>
      <w:marTop w:val="0"/>
      <w:marBottom w:val="0"/>
      <w:divBdr>
        <w:top w:val="none" w:sz="0" w:space="0" w:color="auto"/>
        <w:left w:val="none" w:sz="0" w:space="0" w:color="auto"/>
        <w:bottom w:val="none" w:sz="0" w:space="0" w:color="auto"/>
        <w:right w:val="none" w:sz="0" w:space="0" w:color="auto"/>
      </w:divBdr>
      <w:divsChild>
        <w:div w:id="1202279619">
          <w:marLeft w:val="0"/>
          <w:marRight w:val="0"/>
          <w:marTop w:val="0"/>
          <w:marBottom w:val="0"/>
          <w:divBdr>
            <w:top w:val="none" w:sz="0" w:space="0" w:color="auto"/>
            <w:left w:val="none" w:sz="0" w:space="0" w:color="auto"/>
            <w:bottom w:val="none" w:sz="0" w:space="0" w:color="auto"/>
            <w:right w:val="none" w:sz="0" w:space="0" w:color="auto"/>
          </w:divBdr>
          <w:divsChild>
            <w:div w:id="1996031942">
              <w:marLeft w:val="0"/>
              <w:marRight w:val="0"/>
              <w:marTop w:val="0"/>
              <w:marBottom w:val="0"/>
              <w:divBdr>
                <w:top w:val="none" w:sz="0" w:space="0" w:color="auto"/>
                <w:left w:val="none" w:sz="0" w:space="0" w:color="auto"/>
                <w:bottom w:val="none" w:sz="0" w:space="0" w:color="auto"/>
                <w:right w:val="none" w:sz="0" w:space="0" w:color="auto"/>
              </w:divBdr>
              <w:divsChild>
                <w:div w:id="951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861816824">
      <w:bodyDiv w:val="1"/>
      <w:marLeft w:val="0"/>
      <w:marRight w:val="0"/>
      <w:marTop w:val="0"/>
      <w:marBottom w:val="0"/>
      <w:divBdr>
        <w:top w:val="none" w:sz="0" w:space="0" w:color="auto"/>
        <w:left w:val="none" w:sz="0" w:space="0" w:color="auto"/>
        <w:bottom w:val="none" w:sz="0" w:space="0" w:color="auto"/>
        <w:right w:val="none" w:sz="0" w:space="0" w:color="auto"/>
      </w:divBdr>
      <w:divsChild>
        <w:div w:id="496069572">
          <w:marLeft w:val="0"/>
          <w:marRight w:val="0"/>
          <w:marTop w:val="0"/>
          <w:marBottom w:val="0"/>
          <w:divBdr>
            <w:top w:val="none" w:sz="0" w:space="0" w:color="auto"/>
            <w:left w:val="none" w:sz="0" w:space="0" w:color="auto"/>
            <w:bottom w:val="none" w:sz="0" w:space="0" w:color="auto"/>
            <w:right w:val="none" w:sz="0" w:space="0" w:color="auto"/>
          </w:divBdr>
        </w:div>
      </w:divsChild>
    </w:div>
    <w:div w:id="2078437579">
      <w:bodyDiv w:val="1"/>
      <w:marLeft w:val="0"/>
      <w:marRight w:val="0"/>
      <w:marTop w:val="0"/>
      <w:marBottom w:val="0"/>
      <w:divBdr>
        <w:top w:val="none" w:sz="0" w:space="0" w:color="auto"/>
        <w:left w:val="none" w:sz="0" w:space="0" w:color="auto"/>
        <w:bottom w:val="none" w:sz="0" w:space="0" w:color="auto"/>
        <w:right w:val="none" w:sz="0" w:space="0" w:color="auto"/>
      </w:divBdr>
      <w:divsChild>
        <w:div w:id="1665010241">
          <w:marLeft w:val="0"/>
          <w:marRight w:val="0"/>
          <w:marTop w:val="0"/>
          <w:marBottom w:val="0"/>
          <w:divBdr>
            <w:top w:val="none" w:sz="0" w:space="0" w:color="auto"/>
            <w:left w:val="none" w:sz="0" w:space="0" w:color="auto"/>
            <w:bottom w:val="none" w:sz="0" w:space="0" w:color="auto"/>
            <w:right w:val="none" w:sz="0" w:space="0" w:color="auto"/>
          </w:divBdr>
        </w:div>
      </w:divsChild>
    </w:div>
    <w:div w:id="2134251883">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1770</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4</cp:revision>
  <cp:lastPrinted>2023-08-08T10:04:00Z</cp:lastPrinted>
  <dcterms:created xsi:type="dcterms:W3CDTF">2024-05-07T12:22:00Z</dcterms:created>
  <dcterms:modified xsi:type="dcterms:W3CDTF">2024-05-07T12:32:00Z</dcterms:modified>
</cp:coreProperties>
</file>